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85E195">
      <w:pPr>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14:paraId="364DD1C0">
      <w:pPr>
        <w:framePr w:w="1616" w:wrap="auto" w:vAnchor="margin" w:hAnchor="text" w:x="1416" w:y="593"/>
        <w:widowControl w:val="0"/>
        <w:autoSpaceDE w:val="0"/>
        <w:autoSpaceDN w:val="0"/>
        <w:spacing w:before="0" w:after="0" w:line="231" w:lineRule="exact"/>
        <w:ind w:left="0" w:right="0" w:firstLine="0"/>
        <w:jc w:val="left"/>
        <w:rPr>
          <w:rFonts w:hint="eastAsia" w:ascii="黑体" w:hAnsi="黑体" w:eastAsia="黑体" w:cs="黑体"/>
          <w:color w:val="000000"/>
          <w:spacing w:val="0"/>
          <w:sz w:val="21"/>
        </w:rPr>
      </w:pPr>
      <w:r>
        <w:rPr>
          <w:rFonts w:hint="eastAsia" w:ascii="黑体" w:hAnsi="黑体" w:eastAsia="黑体" w:cs="黑体"/>
          <w:color w:val="000000"/>
          <w:spacing w:val="-1"/>
          <w:sz w:val="21"/>
        </w:rPr>
        <w:t>ICS</w:t>
      </w:r>
      <w:r>
        <w:rPr>
          <w:rFonts w:hint="eastAsia" w:ascii="黑体" w:hAnsi="黑体" w:eastAsia="黑体" w:cs="黑体"/>
          <w:color w:val="000000"/>
          <w:spacing w:val="55"/>
          <w:sz w:val="21"/>
        </w:rPr>
        <w:t xml:space="preserve"> </w:t>
      </w:r>
      <w:r>
        <w:rPr>
          <w:rFonts w:hint="eastAsia" w:ascii="黑体" w:hAnsi="黑体" w:eastAsia="黑体" w:cs="黑体"/>
          <w:color w:val="000000"/>
          <w:spacing w:val="0"/>
          <w:sz w:val="21"/>
        </w:rPr>
        <w:t>13.080.10</w:t>
      </w:r>
    </w:p>
    <w:p w14:paraId="5BDED534">
      <w:pPr>
        <w:framePr w:w="3224" w:wrap="auto" w:vAnchor="margin" w:hAnchor="text" w:x="7788" w:y="834"/>
        <w:widowControl w:val="0"/>
        <w:autoSpaceDE w:val="0"/>
        <w:autoSpaceDN w:val="0"/>
        <w:spacing w:before="0" w:after="0" w:line="1223" w:lineRule="exact"/>
        <w:ind w:left="0" w:right="0" w:firstLine="0"/>
        <w:jc w:val="left"/>
        <w:rPr>
          <w:rFonts w:ascii="Times New Roman"/>
          <w:color w:val="000000"/>
          <w:spacing w:val="0"/>
          <w:sz w:val="110"/>
        </w:rPr>
      </w:pPr>
      <w:r>
        <w:rPr>
          <w:rFonts w:ascii="OLUURW+TimesNewRomanPS-BoldMT"/>
          <w:color w:val="000000"/>
          <w:spacing w:val="70"/>
          <w:sz w:val="110"/>
        </w:rPr>
        <w:t>DB61</w:t>
      </w:r>
    </w:p>
    <w:p w14:paraId="527CBC3C">
      <w:pPr>
        <w:framePr w:w="1292" w:wrap="auto" w:vAnchor="margin" w:hAnchor="text" w:x="1416" w:y="911"/>
        <w:widowControl w:val="0"/>
        <w:autoSpaceDE w:val="0"/>
        <w:autoSpaceDN w:val="0"/>
        <w:spacing w:before="0" w:after="0" w:line="209" w:lineRule="exact"/>
        <w:ind w:left="0" w:right="0" w:firstLine="0"/>
        <w:jc w:val="left"/>
        <w:rPr>
          <w:rFonts w:hint="eastAsia" w:ascii="黑体" w:hAnsi="黑体" w:eastAsia="黑体" w:cs="黑体"/>
          <w:color w:val="000000"/>
          <w:spacing w:val="0"/>
          <w:sz w:val="21"/>
        </w:rPr>
      </w:pPr>
      <w:r>
        <w:rPr>
          <w:rFonts w:hint="eastAsia" w:ascii="黑体" w:hAnsi="黑体" w:eastAsia="黑体" w:cs="黑体"/>
          <w:color w:val="000000"/>
          <w:spacing w:val="2"/>
          <w:sz w:val="21"/>
        </w:rPr>
        <w:t>CCS</w:t>
      </w:r>
      <w:r>
        <w:rPr>
          <w:rFonts w:hint="eastAsia" w:ascii="黑体" w:hAnsi="黑体" w:eastAsia="黑体" w:cs="黑体"/>
          <w:color w:val="000000"/>
          <w:spacing w:val="47"/>
          <w:sz w:val="21"/>
        </w:rPr>
        <w:t xml:space="preserve"> </w:t>
      </w:r>
      <w:r>
        <w:rPr>
          <w:rFonts w:hint="eastAsia" w:ascii="黑体" w:hAnsi="黑体" w:eastAsia="黑体" w:cs="黑体"/>
          <w:color w:val="000000"/>
          <w:spacing w:val="1"/>
          <w:sz w:val="21"/>
        </w:rPr>
        <w:t>Z10/39</w:t>
      </w:r>
    </w:p>
    <w:p w14:paraId="2B111F61">
      <w:pPr>
        <w:framePr w:w="720" w:wrap="auto" w:vAnchor="margin" w:hAnchor="text" w:x="1416" w:y="2337"/>
        <w:widowControl w:val="0"/>
        <w:autoSpaceDE w:val="0"/>
        <w:autoSpaceDN w:val="0"/>
        <w:spacing w:before="0" w:after="0" w:line="480" w:lineRule="exact"/>
        <w:ind w:left="0" w:right="0" w:firstLine="0"/>
        <w:jc w:val="left"/>
        <w:rPr>
          <w:rFonts w:hint="eastAsia" w:ascii="黑体" w:hAnsi="黑体" w:eastAsia="黑体" w:cs="黑体"/>
          <w:b w:val="0"/>
          <w:bCs w:val="0"/>
          <w:color w:val="000000"/>
          <w:spacing w:val="0"/>
          <w:sz w:val="48"/>
        </w:rPr>
      </w:pPr>
      <w:r>
        <w:rPr>
          <w:rFonts w:hint="eastAsia" w:ascii="黑体" w:hAnsi="黑体" w:eastAsia="黑体" w:cs="黑体"/>
          <w:b w:val="0"/>
          <w:bCs w:val="0"/>
          <w:color w:val="000000"/>
          <w:spacing w:val="0"/>
          <w:sz w:val="48"/>
        </w:rPr>
        <w:t>陕</w:t>
      </w:r>
    </w:p>
    <w:p w14:paraId="560C78BD">
      <w:pPr>
        <w:framePr w:w="720" w:wrap="auto" w:vAnchor="margin" w:hAnchor="text" w:x="2957" w:y="2337"/>
        <w:widowControl w:val="0"/>
        <w:autoSpaceDE w:val="0"/>
        <w:autoSpaceDN w:val="0"/>
        <w:spacing w:before="0" w:after="0" w:line="480" w:lineRule="exact"/>
        <w:ind w:left="0" w:right="0" w:firstLine="0"/>
        <w:jc w:val="left"/>
        <w:rPr>
          <w:rFonts w:hint="eastAsia" w:ascii="黑体" w:hAnsi="黑体" w:eastAsia="黑体" w:cs="黑体"/>
          <w:b w:val="0"/>
          <w:bCs w:val="0"/>
          <w:color w:val="000000"/>
          <w:spacing w:val="0"/>
          <w:sz w:val="48"/>
        </w:rPr>
      </w:pPr>
      <w:r>
        <w:rPr>
          <w:rFonts w:hint="eastAsia" w:ascii="黑体" w:hAnsi="黑体" w:eastAsia="黑体" w:cs="黑体"/>
          <w:b w:val="0"/>
          <w:bCs w:val="0"/>
          <w:color w:val="000000"/>
          <w:spacing w:val="0"/>
          <w:sz w:val="48"/>
        </w:rPr>
        <w:t>西</w:t>
      </w:r>
    </w:p>
    <w:p w14:paraId="2CDD8FB1">
      <w:pPr>
        <w:framePr w:w="720" w:wrap="auto" w:vAnchor="margin" w:hAnchor="text" w:x="4495" w:y="2337"/>
        <w:widowControl w:val="0"/>
        <w:autoSpaceDE w:val="0"/>
        <w:autoSpaceDN w:val="0"/>
        <w:spacing w:before="0" w:after="0" w:line="480" w:lineRule="exact"/>
        <w:ind w:left="0" w:right="0" w:firstLine="0"/>
        <w:jc w:val="left"/>
        <w:rPr>
          <w:rFonts w:hint="eastAsia" w:ascii="黑体" w:hAnsi="黑体" w:eastAsia="黑体" w:cs="黑体"/>
          <w:b w:val="0"/>
          <w:bCs w:val="0"/>
          <w:color w:val="000000"/>
          <w:spacing w:val="0"/>
          <w:sz w:val="48"/>
        </w:rPr>
      </w:pPr>
      <w:r>
        <w:rPr>
          <w:rFonts w:hint="eastAsia" w:ascii="黑体" w:hAnsi="黑体" w:eastAsia="黑体" w:cs="黑体"/>
          <w:b w:val="0"/>
          <w:bCs w:val="0"/>
          <w:color w:val="000000"/>
          <w:spacing w:val="0"/>
          <w:sz w:val="48"/>
        </w:rPr>
        <w:t>省</w:t>
      </w:r>
    </w:p>
    <w:p w14:paraId="23A44868">
      <w:pPr>
        <w:framePr w:w="720" w:wrap="auto" w:vAnchor="margin" w:hAnchor="text" w:x="6036" w:y="2337"/>
        <w:widowControl w:val="0"/>
        <w:autoSpaceDE w:val="0"/>
        <w:autoSpaceDN w:val="0"/>
        <w:spacing w:before="0" w:after="0" w:line="480" w:lineRule="exact"/>
        <w:ind w:left="0" w:right="0" w:firstLine="0"/>
        <w:jc w:val="left"/>
        <w:rPr>
          <w:rFonts w:hint="eastAsia" w:ascii="黑体" w:hAnsi="黑体" w:eastAsia="黑体" w:cs="黑体"/>
          <w:b w:val="0"/>
          <w:bCs w:val="0"/>
          <w:color w:val="000000"/>
          <w:spacing w:val="0"/>
          <w:sz w:val="48"/>
        </w:rPr>
      </w:pPr>
      <w:r>
        <w:rPr>
          <w:rFonts w:hint="eastAsia" w:ascii="黑体" w:hAnsi="黑体" w:eastAsia="黑体" w:cs="黑体"/>
          <w:b w:val="0"/>
          <w:bCs w:val="0"/>
          <w:color w:val="000000"/>
          <w:spacing w:val="0"/>
          <w:sz w:val="48"/>
        </w:rPr>
        <w:t>地</w:t>
      </w:r>
    </w:p>
    <w:p w14:paraId="15A716B4">
      <w:pPr>
        <w:framePr w:w="720" w:wrap="auto" w:vAnchor="margin" w:hAnchor="text" w:x="7577" w:y="2337"/>
        <w:widowControl w:val="0"/>
        <w:autoSpaceDE w:val="0"/>
        <w:autoSpaceDN w:val="0"/>
        <w:spacing w:before="0" w:after="0" w:line="480" w:lineRule="exact"/>
        <w:ind w:left="0" w:right="0" w:firstLine="0"/>
        <w:jc w:val="left"/>
        <w:rPr>
          <w:rFonts w:hint="eastAsia" w:ascii="黑体" w:hAnsi="黑体" w:eastAsia="黑体" w:cs="黑体"/>
          <w:b w:val="0"/>
          <w:bCs w:val="0"/>
          <w:color w:val="000000"/>
          <w:spacing w:val="0"/>
          <w:sz w:val="48"/>
        </w:rPr>
      </w:pPr>
      <w:r>
        <w:rPr>
          <w:rFonts w:hint="eastAsia" w:ascii="黑体" w:hAnsi="黑体" w:eastAsia="黑体" w:cs="黑体"/>
          <w:b w:val="0"/>
          <w:bCs w:val="0"/>
          <w:color w:val="000000"/>
          <w:spacing w:val="0"/>
          <w:sz w:val="48"/>
        </w:rPr>
        <w:t>方</w:t>
      </w:r>
    </w:p>
    <w:p w14:paraId="097FE65A">
      <w:pPr>
        <w:framePr w:w="720" w:wrap="auto" w:vAnchor="margin" w:hAnchor="text" w:x="9115" w:y="2337"/>
        <w:widowControl w:val="0"/>
        <w:autoSpaceDE w:val="0"/>
        <w:autoSpaceDN w:val="0"/>
        <w:spacing w:before="0" w:after="0" w:line="480" w:lineRule="exact"/>
        <w:ind w:left="0" w:right="0" w:firstLine="0"/>
        <w:jc w:val="left"/>
        <w:rPr>
          <w:rFonts w:hint="eastAsia" w:ascii="黑体" w:hAnsi="黑体" w:eastAsia="黑体" w:cs="黑体"/>
          <w:b w:val="0"/>
          <w:bCs w:val="0"/>
          <w:color w:val="000000"/>
          <w:spacing w:val="0"/>
          <w:sz w:val="48"/>
        </w:rPr>
      </w:pPr>
      <w:r>
        <w:rPr>
          <w:rFonts w:hint="eastAsia" w:ascii="黑体" w:hAnsi="黑体" w:eastAsia="黑体" w:cs="黑体"/>
          <w:b w:val="0"/>
          <w:bCs w:val="0"/>
          <w:color w:val="000000"/>
          <w:spacing w:val="0"/>
          <w:sz w:val="48"/>
        </w:rPr>
        <w:t>标</w:t>
      </w:r>
    </w:p>
    <w:p w14:paraId="6E430361">
      <w:pPr>
        <w:framePr w:w="720" w:wrap="auto" w:vAnchor="margin" w:hAnchor="text" w:x="10656" w:y="2337"/>
        <w:widowControl w:val="0"/>
        <w:autoSpaceDE w:val="0"/>
        <w:autoSpaceDN w:val="0"/>
        <w:spacing w:before="0" w:after="0" w:line="480" w:lineRule="exact"/>
        <w:ind w:left="0" w:right="0" w:firstLine="0"/>
        <w:jc w:val="left"/>
        <w:rPr>
          <w:rFonts w:hint="eastAsia" w:ascii="黑体" w:hAnsi="黑体" w:eastAsia="黑体" w:cs="黑体"/>
          <w:color w:val="000000"/>
          <w:spacing w:val="0"/>
          <w:sz w:val="48"/>
        </w:rPr>
      </w:pPr>
      <w:r>
        <w:rPr>
          <w:rFonts w:hint="eastAsia" w:ascii="黑体" w:hAnsi="黑体" w:eastAsia="黑体" w:cs="黑体"/>
          <w:b w:val="0"/>
          <w:bCs w:val="0"/>
          <w:color w:val="000000"/>
          <w:spacing w:val="0"/>
          <w:sz w:val="48"/>
        </w:rPr>
        <w:t>准</w:t>
      </w:r>
    </w:p>
    <w:p w14:paraId="54842C07">
      <w:pPr>
        <w:framePr w:w="2797" w:wrap="auto" w:vAnchor="margin" w:hAnchor="text" w:x="8225" w:y="3221"/>
        <w:widowControl w:val="0"/>
        <w:autoSpaceDE w:val="0"/>
        <w:autoSpaceDN w:val="0"/>
        <w:spacing w:before="0" w:after="0" w:line="311" w:lineRule="exact"/>
        <w:ind w:left="0" w:right="0" w:firstLine="0"/>
        <w:jc w:val="left"/>
        <w:rPr>
          <w:rFonts w:hint="eastAsia" w:ascii="黑体" w:hAnsi="黑体" w:eastAsia="黑体" w:cs="黑体"/>
          <w:color w:val="000000"/>
          <w:spacing w:val="0"/>
          <w:sz w:val="28"/>
        </w:rPr>
      </w:pPr>
      <w:r>
        <w:rPr>
          <w:rFonts w:hint="eastAsia" w:ascii="黑体" w:hAnsi="黑体" w:eastAsia="黑体" w:cs="黑体"/>
          <w:color w:val="000000"/>
          <w:spacing w:val="-1"/>
          <w:sz w:val="28"/>
        </w:rPr>
        <w:t>DB</w:t>
      </w:r>
      <w:r>
        <w:rPr>
          <w:rFonts w:hint="eastAsia" w:ascii="黑体" w:hAnsi="黑体" w:eastAsia="黑体" w:cs="黑体"/>
          <w:color w:val="000000"/>
          <w:spacing w:val="-2"/>
          <w:sz w:val="28"/>
        </w:rPr>
        <w:t xml:space="preserve"> </w:t>
      </w:r>
      <w:r>
        <w:rPr>
          <w:rFonts w:hint="eastAsia" w:ascii="黑体" w:hAnsi="黑体" w:eastAsia="黑体" w:cs="黑体"/>
          <w:color w:val="000000"/>
          <w:spacing w:val="0"/>
          <w:sz w:val="28"/>
        </w:rPr>
        <w:t>61/</w:t>
      </w:r>
      <w:r>
        <w:rPr>
          <w:rFonts w:hint="eastAsia" w:ascii="黑体" w:hAnsi="黑体" w:eastAsia="黑体" w:cs="黑体"/>
          <w:color w:val="000000"/>
          <w:spacing w:val="68"/>
          <w:sz w:val="28"/>
        </w:rPr>
        <w:t xml:space="preserve"> </w:t>
      </w:r>
      <w:r>
        <w:rPr>
          <w:rFonts w:hint="eastAsia" w:ascii="黑体" w:hAnsi="黑体" w:eastAsia="黑体" w:cs="黑体"/>
          <w:color w:val="000000"/>
          <w:spacing w:val="0"/>
          <w:sz w:val="28"/>
        </w:rPr>
        <w:t>XXXXX—XXXX</w:t>
      </w:r>
    </w:p>
    <w:p w14:paraId="07A29BBD">
      <w:pPr>
        <w:framePr w:w="6492" w:wrap="auto" w:vAnchor="margin" w:hAnchor="text" w:x="2832" w:y="6468"/>
        <w:widowControl w:val="0"/>
        <w:autoSpaceDE w:val="0"/>
        <w:autoSpaceDN w:val="0"/>
        <w:spacing w:before="0" w:after="0" w:line="521" w:lineRule="exact"/>
        <w:ind w:left="0" w:right="0" w:firstLine="0"/>
        <w:jc w:val="left"/>
        <w:rPr>
          <w:rFonts w:hint="eastAsia" w:ascii="黑体" w:hAnsi="黑体" w:eastAsia="黑体" w:cs="黑体"/>
          <w:color w:val="000000"/>
          <w:spacing w:val="0"/>
          <w:sz w:val="52"/>
        </w:rPr>
      </w:pPr>
      <w:r>
        <w:rPr>
          <w:rFonts w:hint="eastAsia" w:ascii="黑体" w:hAnsi="黑体" w:eastAsia="黑体" w:cs="黑体"/>
          <w:color w:val="000000"/>
          <w:spacing w:val="0"/>
          <w:sz w:val="52"/>
        </w:rPr>
        <w:t>排污单位自行监测技术指南</w:t>
      </w:r>
    </w:p>
    <w:p w14:paraId="106860D5">
      <w:pPr>
        <w:framePr w:w="6492" w:wrap="auto" w:vAnchor="margin" w:hAnchor="text" w:x="2832" w:y="6468"/>
        <w:widowControl w:val="0"/>
        <w:autoSpaceDE w:val="0"/>
        <w:autoSpaceDN w:val="0"/>
        <w:spacing w:before="158" w:after="0" w:line="521" w:lineRule="exact"/>
        <w:ind w:left="0" w:leftChars="0" w:right="0" w:firstLine="0" w:firstLineChars="0"/>
        <w:jc w:val="center"/>
        <w:rPr>
          <w:rFonts w:hint="eastAsia" w:ascii="黑体" w:hAnsi="黑体" w:eastAsia="黑体" w:cs="黑体"/>
          <w:color w:val="000000"/>
          <w:spacing w:val="0"/>
          <w:sz w:val="52"/>
        </w:rPr>
      </w:pPr>
      <w:r>
        <w:rPr>
          <w:rFonts w:hint="eastAsia" w:ascii="黑体" w:hAnsi="黑体" w:eastAsia="黑体" w:cs="黑体"/>
          <w:color w:val="000000"/>
          <w:spacing w:val="0"/>
          <w:sz w:val="52"/>
          <w:lang w:val="en-US" w:eastAsia="zh-CN"/>
        </w:rPr>
        <w:t>兰炭</w:t>
      </w:r>
      <w:r>
        <w:rPr>
          <w:rFonts w:hint="eastAsia" w:ascii="黑体" w:hAnsi="黑体" w:eastAsia="黑体" w:cs="黑体"/>
          <w:color w:val="000000"/>
          <w:spacing w:val="0"/>
          <w:sz w:val="52"/>
        </w:rPr>
        <w:t>工业</w:t>
      </w:r>
    </w:p>
    <w:p w14:paraId="6D2DD5CB">
      <w:pPr>
        <w:framePr w:w="8138" w:wrap="auto" w:vAnchor="margin" w:hAnchor="page" w:x="2110" w:y="8168"/>
        <w:widowControl w:val="0"/>
        <w:autoSpaceDE w:val="0"/>
        <w:autoSpaceDN w:val="0"/>
        <w:spacing w:before="0" w:after="0" w:line="311" w:lineRule="exact"/>
        <w:ind w:left="0" w:right="0" w:firstLine="0"/>
        <w:jc w:val="center"/>
        <w:rPr>
          <w:rFonts w:hint="default" w:ascii="Times New Roman" w:hAnsi="Times New Roman" w:cs="Times New Roman"/>
          <w:color w:val="000000"/>
          <w:spacing w:val="0"/>
          <w:sz w:val="28"/>
        </w:rPr>
      </w:pPr>
      <w:r>
        <w:rPr>
          <w:rFonts w:hint="eastAsia" w:ascii="黑体" w:hAnsi="黑体" w:eastAsia="黑体" w:cs="黑体"/>
          <w:color w:val="000000"/>
          <w:spacing w:val="0"/>
          <w:sz w:val="28"/>
        </w:rPr>
        <w:t>Self-monitoring technology guidelines for pollution sources —Semi-</w:t>
      </w:r>
      <w:r>
        <w:rPr>
          <w:rFonts w:hint="eastAsia" w:ascii="黑体" w:hAnsi="黑体" w:eastAsia="黑体" w:cs="黑体"/>
          <w:color w:val="000000"/>
          <w:spacing w:val="0"/>
          <w:sz w:val="28"/>
          <w:lang w:val="en-US" w:eastAsia="zh-CN"/>
        </w:rPr>
        <w:t>c</w:t>
      </w:r>
      <w:r>
        <w:rPr>
          <w:rFonts w:hint="eastAsia" w:ascii="黑体" w:hAnsi="黑体" w:eastAsia="黑体" w:cs="黑体"/>
          <w:color w:val="000000"/>
          <w:spacing w:val="0"/>
          <w:sz w:val="28"/>
        </w:rPr>
        <w:t>oke</w:t>
      </w:r>
      <w:r>
        <w:rPr>
          <w:rFonts w:hint="eastAsia" w:ascii="黑体" w:hAnsi="黑体" w:eastAsia="黑体" w:cs="黑体"/>
          <w:color w:val="000000"/>
          <w:spacing w:val="0"/>
          <w:sz w:val="28"/>
          <w:lang w:eastAsia="zh"/>
        </w:rPr>
        <w:t>（Lantan）</w:t>
      </w:r>
      <w:r>
        <w:rPr>
          <w:rFonts w:hint="eastAsia" w:ascii="黑体" w:hAnsi="黑体" w:eastAsia="黑体" w:cs="黑体"/>
          <w:color w:val="000000"/>
          <w:spacing w:val="0"/>
          <w:sz w:val="28"/>
        </w:rPr>
        <w:t>industry</w:t>
      </w:r>
    </w:p>
    <w:p w14:paraId="26A8435B">
      <w:pPr>
        <w:framePr w:w="480" w:wrap="auto" w:vAnchor="margin" w:hAnchor="text" w:x="5112" w:y="11373"/>
        <w:widowControl w:val="0"/>
        <w:autoSpaceDE w:val="0"/>
        <w:autoSpaceDN w:val="0"/>
        <w:spacing w:before="0" w:after="0" w:line="240" w:lineRule="exact"/>
        <w:ind w:left="0" w:right="0" w:firstLine="0"/>
        <w:jc w:val="left"/>
        <w:rPr>
          <w:rFonts w:hint="eastAsia" w:ascii="宋体" w:hAnsi="宋体" w:eastAsia="宋体" w:cs="宋体"/>
          <w:color w:val="000000"/>
          <w:spacing w:val="0"/>
          <w:sz w:val="24"/>
        </w:rPr>
      </w:pPr>
      <w:r>
        <w:rPr>
          <w:rFonts w:hint="eastAsia" w:ascii="宋体" w:hAnsi="宋体" w:eastAsia="宋体" w:cs="宋体"/>
          <w:color w:val="000000"/>
          <w:spacing w:val="0"/>
          <w:sz w:val="24"/>
        </w:rPr>
        <w:t>（</w:t>
      </w:r>
    </w:p>
    <w:p w14:paraId="7AC095FE">
      <w:pPr>
        <w:framePr w:w="1680" w:wrap="auto" w:vAnchor="margin" w:hAnchor="text" w:x="5352" w:y="11373"/>
        <w:widowControl w:val="0"/>
        <w:autoSpaceDE w:val="0"/>
        <w:autoSpaceDN w:val="0"/>
        <w:spacing w:before="0" w:after="0" w:line="240" w:lineRule="exact"/>
        <w:ind w:left="0" w:right="0" w:firstLine="0"/>
        <w:jc w:val="left"/>
        <w:rPr>
          <w:rFonts w:hint="eastAsia" w:ascii="宋体" w:hAnsi="宋体" w:eastAsia="宋体" w:cs="宋体"/>
          <w:color w:val="000000"/>
          <w:spacing w:val="0"/>
          <w:sz w:val="24"/>
        </w:rPr>
      </w:pPr>
      <w:r>
        <w:rPr>
          <w:rFonts w:hint="eastAsia" w:ascii="宋体" w:hAnsi="宋体" w:eastAsia="宋体" w:cs="宋体"/>
          <w:color w:val="000000"/>
          <w:spacing w:val="0"/>
          <w:sz w:val="24"/>
        </w:rPr>
        <w:t>征求意见稿）</w:t>
      </w:r>
    </w:p>
    <w:p w14:paraId="2E000B53">
      <w:pPr>
        <w:framePr w:w="2737" w:wrap="auto" w:vAnchor="margin" w:hAnchor="text" w:x="1416" w:y="14249"/>
        <w:widowControl w:val="0"/>
        <w:autoSpaceDE w:val="0"/>
        <w:autoSpaceDN w:val="0"/>
        <w:spacing w:before="0" w:after="0" w:line="281" w:lineRule="exact"/>
        <w:ind w:left="0" w:right="0" w:firstLine="0"/>
        <w:jc w:val="left"/>
        <w:rPr>
          <w:rFonts w:hint="eastAsia" w:ascii="黑体" w:hAnsi="黑体" w:eastAsia="黑体" w:cs="黑体"/>
          <w:color w:val="000000"/>
          <w:spacing w:val="0"/>
          <w:sz w:val="28"/>
        </w:rPr>
      </w:pPr>
      <w:r>
        <w:rPr>
          <w:rFonts w:hint="eastAsia" w:ascii="黑体" w:hAnsi="黑体" w:eastAsia="黑体" w:cs="黑体"/>
          <w:color w:val="000000"/>
          <w:spacing w:val="0"/>
          <w:sz w:val="28"/>
          <w:lang w:val="en-US" w:eastAsia="zh-CN"/>
        </w:rPr>
        <w:t>2025</w:t>
      </w:r>
      <w:r>
        <w:rPr>
          <w:rFonts w:hint="eastAsia" w:ascii="黑体" w:hAnsi="黑体" w:eastAsia="黑体" w:cs="黑体"/>
          <w:color w:val="000000"/>
          <w:spacing w:val="1"/>
          <w:sz w:val="28"/>
        </w:rPr>
        <w:t xml:space="preserve"> </w:t>
      </w:r>
      <w:r>
        <w:rPr>
          <w:rFonts w:hint="eastAsia" w:ascii="黑体" w:hAnsi="黑体" w:eastAsia="黑体" w:cs="黑体"/>
          <w:color w:val="000000"/>
          <w:spacing w:val="0"/>
          <w:sz w:val="28"/>
        </w:rPr>
        <w:t>-</w:t>
      </w:r>
      <w:r>
        <w:rPr>
          <w:rFonts w:hint="eastAsia" w:ascii="黑体" w:hAnsi="黑体" w:eastAsia="黑体" w:cs="黑体"/>
          <w:color w:val="000000"/>
          <w:spacing w:val="-1"/>
          <w:sz w:val="28"/>
        </w:rPr>
        <w:t xml:space="preserve"> </w:t>
      </w:r>
      <w:r>
        <w:rPr>
          <w:rFonts w:hint="eastAsia" w:ascii="黑体" w:hAnsi="黑体" w:eastAsia="黑体" w:cs="黑体"/>
          <w:color w:val="000000"/>
          <w:spacing w:val="2"/>
          <w:sz w:val="28"/>
        </w:rPr>
        <w:t>XX</w:t>
      </w:r>
      <w:r>
        <w:rPr>
          <w:rFonts w:hint="eastAsia" w:ascii="黑体" w:hAnsi="黑体" w:eastAsia="黑体" w:cs="黑体"/>
          <w:color w:val="000000"/>
          <w:spacing w:val="-5"/>
          <w:sz w:val="28"/>
        </w:rPr>
        <w:t xml:space="preserve"> </w:t>
      </w:r>
      <w:r>
        <w:rPr>
          <w:rFonts w:hint="eastAsia" w:ascii="黑体" w:hAnsi="黑体" w:eastAsia="黑体" w:cs="黑体"/>
          <w:color w:val="000000"/>
          <w:spacing w:val="0"/>
          <w:sz w:val="28"/>
        </w:rPr>
        <w:t>-</w:t>
      </w:r>
      <w:r>
        <w:rPr>
          <w:rFonts w:hint="eastAsia" w:ascii="黑体" w:hAnsi="黑体" w:eastAsia="黑体" w:cs="黑体"/>
          <w:color w:val="000000"/>
          <w:spacing w:val="4"/>
          <w:sz w:val="28"/>
        </w:rPr>
        <w:t xml:space="preserve"> </w:t>
      </w:r>
      <w:r>
        <w:rPr>
          <w:rFonts w:hint="eastAsia" w:ascii="黑体" w:hAnsi="黑体" w:eastAsia="黑体" w:cs="黑体"/>
          <w:color w:val="000000"/>
          <w:spacing w:val="2"/>
          <w:sz w:val="28"/>
        </w:rPr>
        <w:t>XX</w:t>
      </w:r>
      <w:r>
        <w:rPr>
          <w:rFonts w:hint="eastAsia" w:ascii="黑体" w:hAnsi="黑体" w:eastAsia="黑体" w:cs="黑体"/>
          <w:color w:val="000000"/>
          <w:spacing w:val="-3"/>
          <w:sz w:val="28"/>
        </w:rPr>
        <w:t xml:space="preserve"> </w:t>
      </w:r>
      <w:r>
        <w:rPr>
          <w:rFonts w:hint="eastAsia" w:ascii="黑体" w:hAnsi="黑体" w:eastAsia="黑体" w:cs="黑体"/>
          <w:color w:val="000000"/>
          <w:spacing w:val="1"/>
          <w:sz w:val="28"/>
        </w:rPr>
        <w:t>发布</w:t>
      </w:r>
    </w:p>
    <w:p w14:paraId="5ACC440E">
      <w:pPr>
        <w:framePr w:w="2737" w:wrap="auto" w:vAnchor="margin" w:hAnchor="page" w:x="8401" w:y="14249"/>
        <w:widowControl w:val="0"/>
        <w:autoSpaceDE w:val="0"/>
        <w:autoSpaceDN w:val="0"/>
        <w:spacing w:before="0" w:after="0" w:line="281" w:lineRule="exact"/>
        <w:ind w:left="0" w:right="0" w:firstLine="0"/>
        <w:jc w:val="left"/>
        <w:rPr>
          <w:rFonts w:hint="eastAsia" w:ascii="黑体" w:hAnsi="黑体" w:eastAsia="黑体" w:cs="黑体"/>
          <w:color w:val="000000"/>
          <w:spacing w:val="0"/>
          <w:sz w:val="28"/>
        </w:rPr>
      </w:pPr>
      <w:r>
        <w:rPr>
          <w:rFonts w:hint="eastAsia" w:ascii="黑体" w:hAnsi="黑体" w:eastAsia="黑体" w:cs="黑体"/>
          <w:color w:val="000000"/>
          <w:spacing w:val="0"/>
          <w:sz w:val="28"/>
          <w:lang w:val="en-US" w:eastAsia="zh-CN"/>
        </w:rPr>
        <w:t>2025</w:t>
      </w:r>
      <w:r>
        <w:rPr>
          <w:rFonts w:hint="eastAsia" w:ascii="黑体" w:hAnsi="黑体" w:eastAsia="黑体" w:cs="黑体"/>
          <w:color w:val="000000"/>
          <w:spacing w:val="1"/>
          <w:sz w:val="28"/>
        </w:rPr>
        <w:t xml:space="preserve"> </w:t>
      </w:r>
      <w:r>
        <w:rPr>
          <w:rFonts w:hint="eastAsia" w:ascii="黑体" w:hAnsi="黑体" w:eastAsia="黑体" w:cs="黑体"/>
          <w:color w:val="000000"/>
          <w:spacing w:val="0"/>
          <w:sz w:val="28"/>
        </w:rPr>
        <w:t>-</w:t>
      </w:r>
      <w:r>
        <w:rPr>
          <w:rFonts w:hint="eastAsia" w:ascii="黑体" w:hAnsi="黑体" w:eastAsia="黑体" w:cs="黑体"/>
          <w:color w:val="000000"/>
          <w:spacing w:val="-1"/>
          <w:sz w:val="28"/>
        </w:rPr>
        <w:t xml:space="preserve"> </w:t>
      </w:r>
      <w:r>
        <w:rPr>
          <w:rFonts w:hint="eastAsia" w:ascii="黑体" w:hAnsi="黑体" w:eastAsia="黑体" w:cs="黑体"/>
          <w:color w:val="000000"/>
          <w:spacing w:val="4"/>
          <w:sz w:val="28"/>
        </w:rPr>
        <w:t>XX</w:t>
      </w:r>
      <w:r>
        <w:rPr>
          <w:rFonts w:hint="eastAsia" w:ascii="黑体" w:hAnsi="黑体" w:eastAsia="黑体" w:cs="黑体"/>
          <w:color w:val="000000"/>
          <w:spacing w:val="-5"/>
          <w:sz w:val="28"/>
        </w:rPr>
        <w:t xml:space="preserve"> </w:t>
      </w:r>
      <w:r>
        <w:rPr>
          <w:rFonts w:hint="eastAsia" w:ascii="黑体" w:hAnsi="黑体" w:eastAsia="黑体" w:cs="黑体"/>
          <w:color w:val="000000"/>
          <w:spacing w:val="0"/>
          <w:sz w:val="28"/>
        </w:rPr>
        <w:t>-</w:t>
      </w:r>
      <w:r>
        <w:rPr>
          <w:rFonts w:hint="eastAsia" w:ascii="黑体" w:hAnsi="黑体" w:eastAsia="黑体" w:cs="黑体"/>
          <w:color w:val="000000"/>
          <w:spacing w:val="-1"/>
          <w:sz w:val="28"/>
        </w:rPr>
        <w:t xml:space="preserve"> </w:t>
      </w:r>
      <w:r>
        <w:rPr>
          <w:rFonts w:hint="eastAsia" w:ascii="黑体" w:hAnsi="黑体" w:eastAsia="黑体" w:cs="黑体"/>
          <w:color w:val="000000"/>
          <w:spacing w:val="2"/>
          <w:sz w:val="28"/>
        </w:rPr>
        <w:t>XX</w:t>
      </w:r>
      <w:r>
        <w:rPr>
          <w:rFonts w:hint="eastAsia" w:ascii="黑体" w:hAnsi="黑体" w:eastAsia="黑体" w:cs="黑体"/>
          <w:color w:val="000000"/>
          <w:spacing w:val="-3"/>
          <w:sz w:val="28"/>
        </w:rPr>
        <w:t xml:space="preserve"> </w:t>
      </w:r>
      <w:r>
        <w:rPr>
          <w:rFonts w:hint="eastAsia" w:ascii="黑体" w:hAnsi="黑体" w:eastAsia="黑体" w:cs="黑体"/>
          <w:color w:val="000000"/>
          <w:spacing w:val="1"/>
          <w:sz w:val="28"/>
        </w:rPr>
        <w:t>实施</w:t>
      </w:r>
    </w:p>
    <w:p w14:paraId="349ED5DF">
      <w:pPr>
        <w:framePr w:w="970" w:wrap="auto" w:vAnchor="margin" w:hAnchor="text" w:x="8062" w:y="15331"/>
        <w:widowControl w:val="0"/>
        <w:autoSpaceDE w:val="0"/>
        <w:autoSpaceDN w:val="0"/>
        <w:spacing w:before="0" w:after="0" w:line="281" w:lineRule="exact"/>
        <w:ind w:left="0" w:right="0" w:firstLine="0"/>
        <w:jc w:val="left"/>
        <w:rPr>
          <w:rFonts w:hint="eastAsia" w:ascii="黑体" w:hAnsi="黑体" w:eastAsia="黑体" w:cs="黑体"/>
          <w:color w:val="000000"/>
          <w:spacing w:val="0"/>
          <w:sz w:val="28"/>
        </w:rPr>
      </w:pPr>
      <w:r>
        <w:rPr>
          <w:rFonts w:hint="eastAsia" w:ascii="黑体" w:hAnsi="黑体" w:eastAsia="黑体" w:cs="黑体"/>
          <w:color w:val="000000"/>
          <w:spacing w:val="0"/>
          <w:sz w:val="28"/>
        </w:rPr>
        <w:t>发</w:t>
      </w:r>
      <w:r>
        <w:rPr>
          <w:rFonts w:hint="eastAsia" w:ascii="黑体" w:hAnsi="黑体" w:eastAsia="黑体" w:cs="黑体"/>
          <w:color w:val="000000"/>
          <w:spacing w:val="99"/>
          <w:sz w:val="28"/>
        </w:rPr>
        <w:t xml:space="preserve"> </w:t>
      </w:r>
      <w:r>
        <w:rPr>
          <w:rFonts w:hint="eastAsia" w:ascii="黑体" w:hAnsi="黑体" w:eastAsia="黑体" w:cs="黑体"/>
          <w:color w:val="000000"/>
          <w:spacing w:val="0"/>
          <w:sz w:val="28"/>
        </w:rPr>
        <w:t>布</w:t>
      </w:r>
    </w:p>
    <w:p w14:paraId="33C8A417">
      <w:pPr>
        <w:spacing w:before="0" w:after="0" w:line="0" w:lineRule="exact"/>
        <w:ind w:left="0" w:right="0" w:firstLine="0"/>
        <w:jc w:val="left"/>
        <w:rPr>
          <w:rFonts w:ascii="Arial"/>
          <w:color w:val="FF0000"/>
          <w:spacing w:val="0"/>
          <w:sz w:val="2"/>
        </w:rPr>
      </w:pPr>
      <w:r>
        <w:drawing>
          <wp:anchor distT="0" distB="0" distL="114300" distR="114300" simplePos="0" relativeHeight="251660288" behindDoc="1" locked="0" layoutInCell="1" allowOverlap="1">
            <wp:simplePos x="0" y="0"/>
            <wp:positionH relativeFrom="page">
              <wp:posOffset>2905760</wp:posOffset>
            </wp:positionH>
            <wp:positionV relativeFrom="page">
              <wp:posOffset>7187565</wp:posOffset>
            </wp:positionV>
            <wp:extent cx="1931670" cy="597535"/>
            <wp:effectExtent l="0" t="0" r="11430" b="12065"/>
            <wp:wrapNone/>
            <wp:docPr id="15" name="_x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_x00001"/>
                    <pic:cNvPicPr>
                      <a:picLocks noChangeAspect="1"/>
                    </pic:cNvPicPr>
                  </pic:nvPicPr>
                  <pic:blipFill>
                    <a:blip r:embed="rId10"/>
                    <a:stretch>
                      <a:fillRect/>
                    </a:stretch>
                  </pic:blipFill>
                  <pic:spPr>
                    <a:xfrm>
                      <a:off x="0" y="0"/>
                      <a:ext cx="1931670" cy="597535"/>
                    </a:xfrm>
                    <a:prstGeom prst="rect">
                      <a:avLst/>
                    </a:prstGeom>
                    <a:noFill/>
                    <a:ln w="9525">
                      <a:noFill/>
                    </a:ln>
                  </pic:spPr>
                </pic:pic>
              </a:graphicData>
            </a:graphic>
          </wp:anchor>
        </w:drawing>
      </w:r>
      <w:r>
        <w:drawing>
          <wp:anchor distT="0" distB="0" distL="114300" distR="114300" simplePos="0" relativeHeight="251660288" behindDoc="1" locked="0" layoutInCell="1" allowOverlap="1">
            <wp:simplePos x="0" y="0"/>
            <wp:positionH relativeFrom="page">
              <wp:posOffset>5762625</wp:posOffset>
            </wp:positionH>
            <wp:positionV relativeFrom="page">
              <wp:posOffset>2260600</wp:posOffset>
            </wp:positionV>
            <wp:extent cx="1169035" cy="255270"/>
            <wp:effectExtent l="0" t="0" r="12065" b="11430"/>
            <wp:wrapNone/>
            <wp:docPr id="14" name="_x00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_x00000"/>
                    <pic:cNvPicPr>
                      <a:picLocks noChangeAspect="1"/>
                    </pic:cNvPicPr>
                  </pic:nvPicPr>
                  <pic:blipFill>
                    <a:blip r:embed="rId11"/>
                    <a:stretch>
                      <a:fillRect/>
                    </a:stretch>
                  </pic:blipFill>
                  <pic:spPr>
                    <a:xfrm>
                      <a:off x="0" y="0"/>
                      <a:ext cx="1169035" cy="255270"/>
                    </a:xfrm>
                    <a:prstGeom prst="rect">
                      <a:avLst/>
                    </a:prstGeom>
                    <a:noFill/>
                    <a:ln w="9525">
                      <a:noFill/>
                    </a:ln>
                  </pic:spPr>
                </pic:pic>
              </a:graphicData>
            </a:graphic>
          </wp:anchor>
        </w:drawing>
      </w:r>
      <w:r>
        <w:drawing>
          <wp:anchor distT="0" distB="0" distL="114300" distR="114300" simplePos="0" relativeHeight="251660288" behindDoc="1" locked="0" layoutInCell="1" allowOverlap="1">
            <wp:simplePos x="0" y="0"/>
            <wp:positionH relativeFrom="page">
              <wp:posOffset>819150</wp:posOffset>
            </wp:positionH>
            <wp:positionV relativeFrom="page">
              <wp:posOffset>730250</wp:posOffset>
            </wp:positionV>
            <wp:extent cx="892810" cy="224790"/>
            <wp:effectExtent l="0" t="0" r="8890" b="3810"/>
            <wp:wrapNone/>
            <wp:docPr id="16" name="_x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_x00002"/>
                    <pic:cNvPicPr>
                      <a:picLocks noChangeAspect="1"/>
                    </pic:cNvPicPr>
                  </pic:nvPicPr>
                  <pic:blipFill>
                    <a:blip r:embed="rId12"/>
                    <a:stretch>
                      <a:fillRect/>
                    </a:stretch>
                  </pic:blipFill>
                  <pic:spPr>
                    <a:xfrm>
                      <a:off x="0" y="0"/>
                      <a:ext cx="892810" cy="224790"/>
                    </a:xfrm>
                    <a:prstGeom prst="rect">
                      <a:avLst/>
                    </a:prstGeom>
                    <a:noFill/>
                    <a:ln w="9525">
                      <a:noFill/>
                    </a:ln>
                  </pic:spPr>
                </pic:pic>
              </a:graphicData>
            </a:graphic>
          </wp:anchor>
        </w:drawing>
      </w:r>
      <w:r>
        <w:drawing>
          <wp:anchor distT="0" distB="0" distL="114300" distR="114300" simplePos="0" relativeHeight="251660288" behindDoc="1" locked="0" layoutInCell="1" allowOverlap="1">
            <wp:simplePos x="0" y="0"/>
            <wp:positionH relativeFrom="page">
              <wp:posOffset>2950845</wp:posOffset>
            </wp:positionH>
            <wp:positionV relativeFrom="page">
              <wp:posOffset>573405</wp:posOffset>
            </wp:positionV>
            <wp:extent cx="3900170" cy="908050"/>
            <wp:effectExtent l="0" t="0" r="11430" b="6350"/>
            <wp:wrapNone/>
            <wp:docPr id="13" name="_x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_x00003"/>
                    <pic:cNvPicPr>
                      <a:picLocks noChangeAspect="1"/>
                    </pic:cNvPicPr>
                  </pic:nvPicPr>
                  <pic:blipFill>
                    <a:blip r:embed="rId13"/>
                    <a:stretch>
                      <a:fillRect/>
                    </a:stretch>
                  </pic:blipFill>
                  <pic:spPr>
                    <a:xfrm>
                      <a:off x="0" y="0"/>
                      <a:ext cx="3900170" cy="908050"/>
                    </a:xfrm>
                    <a:prstGeom prst="rect">
                      <a:avLst/>
                    </a:prstGeom>
                    <a:noFill/>
                    <a:ln w="9525">
                      <a:noFill/>
                    </a:ln>
                  </pic:spPr>
                </pic:pic>
              </a:graphicData>
            </a:graphic>
          </wp:anchor>
        </w:drawing>
      </w:r>
      <w:r>
        <w:drawing>
          <wp:anchor distT="0" distB="0" distL="114300" distR="114300" simplePos="0" relativeHeight="251660288" behindDoc="1" locked="0" layoutInCell="1" allowOverlap="1">
            <wp:simplePos x="0" y="0"/>
            <wp:positionH relativeFrom="page">
              <wp:posOffset>886460</wp:posOffset>
            </wp:positionH>
            <wp:positionV relativeFrom="page">
              <wp:posOffset>9228455</wp:posOffset>
            </wp:positionV>
            <wp:extent cx="6144895" cy="38100"/>
            <wp:effectExtent l="0" t="0" r="1905" b="0"/>
            <wp:wrapNone/>
            <wp:docPr id="18" name="_x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_x00004"/>
                    <pic:cNvPicPr>
                      <a:picLocks noChangeAspect="1"/>
                    </pic:cNvPicPr>
                  </pic:nvPicPr>
                  <pic:blipFill>
                    <a:blip r:embed="rId14"/>
                    <a:stretch>
                      <a:fillRect/>
                    </a:stretch>
                  </pic:blipFill>
                  <pic:spPr>
                    <a:xfrm>
                      <a:off x="0" y="0"/>
                      <a:ext cx="6144895" cy="38100"/>
                    </a:xfrm>
                    <a:prstGeom prst="rect">
                      <a:avLst/>
                    </a:prstGeom>
                    <a:noFill/>
                    <a:ln w="9525">
                      <a:noFill/>
                    </a:ln>
                  </pic:spPr>
                </pic:pic>
              </a:graphicData>
            </a:graphic>
          </wp:anchor>
        </w:drawing>
      </w:r>
      <w:r>
        <w:drawing>
          <wp:anchor distT="0" distB="0" distL="114300" distR="114300" simplePos="0" relativeHeight="251660288" behindDoc="1" locked="0" layoutInCell="1" allowOverlap="1">
            <wp:simplePos x="0" y="0"/>
            <wp:positionH relativeFrom="page">
              <wp:posOffset>886460</wp:posOffset>
            </wp:positionH>
            <wp:positionV relativeFrom="page">
              <wp:posOffset>3468370</wp:posOffset>
            </wp:positionV>
            <wp:extent cx="6144895" cy="38100"/>
            <wp:effectExtent l="0" t="0" r="1905" b="0"/>
            <wp:wrapNone/>
            <wp:docPr id="17" name="_x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_x00005"/>
                    <pic:cNvPicPr>
                      <a:picLocks noChangeAspect="1"/>
                    </pic:cNvPicPr>
                  </pic:nvPicPr>
                  <pic:blipFill>
                    <a:blip r:embed="rId14"/>
                    <a:stretch>
                      <a:fillRect/>
                    </a:stretch>
                  </pic:blipFill>
                  <pic:spPr>
                    <a:xfrm>
                      <a:off x="0" y="0"/>
                      <a:ext cx="6144895" cy="38100"/>
                    </a:xfrm>
                    <a:prstGeom prst="rect">
                      <a:avLst/>
                    </a:prstGeom>
                    <a:noFill/>
                    <a:ln w="9525">
                      <a:noFill/>
                    </a:ln>
                  </pic:spPr>
                </pic:pic>
              </a:graphicData>
            </a:graphic>
          </wp:anchor>
        </w:drawing>
      </w:r>
    </w:p>
    <w:p w14:paraId="0F0E24DB">
      <w:pPr>
        <w:framePr w:w="5001" w:wrap="auto" w:vAnchor="margin" w:hAnchor="page" w:x="2711" w:y="15322"/>
        <w:widowControl w:val="0"/>
        <w:autoSpaceDE w:val="0"/>
        <w:autoSpaceDN w:val="0"/>
        <w:spacing w:before="0" w:after="0" w:line="328" w:lineRule="exact"/>
        <w:ind w:left="0" w:right="0" w:firstLine="0"/>
        <w:jc w:val="left"/>
        <w:sectPr>
          <w:headerReference r:id="rId3" w:type="even"/>
          <w:pgSz w:w="11906" w:h="16838"/>
          <w:pgMar w:top="0" w:right="0" w:bottom="0" w:left="0" w:header="1418" w:footer="1134" w:gutter="0"/>
          <w:pgBorders>
            <w:top w:val="none" w:sz="0" w:space="0"/>
            <w:left w:val="none" w:sz="0" w:space="0"/>
            <w:bottom w:val="none" w:sz="0" w:space="0"/>
            <w:right w:val="none" w:sz="0" w:space="0"/>
          </w:pgBorders>
          <w:pgNumType w:fmt="upperRoman" w:start="1"/>
          <w:cols w:space="720" w:num="1"/>
          <w:formProt w:val="0"/>
          <w:docGrid w:type="lines" w:linePitch="312" w:charSpace="0"/>
        </w:sectPr>
      </w:pPr>
      <w:r>
        <w:rPr>
          <w:rFonts w:hint="eastAsia" w:ascii="黑体" w:hAnsi="黑体" w:eastAsia="黑体" w:cs="黑体"/>
          <w:color w:val="000000"/>
          <w:spacing w:val="0"/>
          <w:sz w:val="33"/>
        </w:rPr>
        <w:t>陕 西</w:t>
      </w:r>
      <w:r>
        <w:rPr>
          <w:rFonts w:hint="eastAsia" w:ascii="黑体" w:hAnsi="黑体" w:eastAsia="黑体" w:cs="黑体"/>
          <w:color w:val="000000"/>
          <w:spacing w:val="7"/>
          <w:sz w:val="33"/>
        </w:rPr>
        <w:t xml:space="preserve"> </w:t>
      </w:r>
      <w:r>
        <w:rPr>
          <w:rFonts w:hint="eastAsia" w:ascii="黑体" w:hAnsi="黑体" w:eastAsia="黑体" w:cs="黑体"/>
          <w:color w:val="000000"/>
          <w:spacing w:val="0"/>
          <w:sz w:val="33"/>
        </w:rPr>
        <w:t>省</w:t>
      </w:r>
      <w:r>
        <w:rPr>
          <w:rFonts w:hint="eastAsia" w:ascii="黑体" w:hAnsi="黑体" w:eastAsia="黑体" w:cs="黑体"/>
          <w:color w:val="000000"/>
          <w:spacing w:val="3"/>
          <w:sz w:val="33"/>
        </w:rPr>
        <w:t xml:space="preserve"> </w:t>
      </w:r>
      <w:r>
        <w:rPr>
          <w:rFonts w:hint="eastAsia" w:ascii="黑体" w:hAnsi="黑体" w:eastAsia="黑体" w:cs="黑体"/>
          <w:color w:val="000000"/>
          <w:spacing w:val="0"/>
          <w:sz w:val="33"/>
        </w:rPr>
        <w:t>市</w:t>
      </w:r>
      <w:r>
        <w:rPr>
          <w:rFonts w:hint="eastAsia" w:ascii="黑体" w:hAnsi="黑体" w:eastAsia="黑体" w:cs="黑体"/>
          <w:color w:val="000000"/>
          <w:spacing w:val="5"/>
          <w:sz w:val="33"/>
        </w:rPr>
        <w:t xml:space="preserve"> </w:t>
      </w:r>
      <w:r>
        <w:rPr>
          <w:rFonts w:hint="eastAsia" w:ascii="黑体" w:hAnsi="黑体" w:eastAsia="黑体" w:cs="黑体"/>
          <w:color w:val="000000"/>
          <w:spacing w:val="0"/>
          <w:sz w:val="33"/>
        </w:rPr>
        <w:t>场</w:t>
      </w:r>
      <w:r>
        <w:rPr>
          <w:rFonts w:hint="eastAsia" w:ascii="黑体" w:hAnsi="黑体" w:eastAsia="黑体" w:cs="黑体"/>
          <w:color w:val="000000"/>
          <w:spacing w:val="3"/>
          <w:sz w:val="33"/>
        </w:rPr>
        <w:t xml:space="preserve"> </w:t>
      </w:r>
      <w:r>
        <w:rPr>
          <w:rFonts w:hint="eastAsia" w:ascii="黑体" w:hAnsi="黑体" w:eastAsia="黑体" w:cs="黑体"/>
          <w:color w:val="000000"/>
          <w:spacing w:val="0"/>
          <w:sz w:val="33"/>
        </w:rPr>
        <w:t>监</w:t>
      </w:r>
      <w:r>
        <w:rPr>
          <w:rFonts w:hint="eastAsia" w:ascii="黑体" w:hAnsi="黑体" w:eastAsia="黑体" w:cs="黑体"/>
          <w:color w:val="000000"/>
          <w:spacing w:val="5"/>
          <w:sz w:val="33"/>
        </w:rPr>
        <w:t xml:space="preserve"> </w:t>
      </w:r>
      <w:r>
        <w:rPr>
          <w:rFonts w:hint="eastAsia" w:ascii="黑体" w:hAnsi="黑体" w:eastAsia="黑体" w:cs="黑体"/>
          <w:color w:val="000000"/>
          <w:spacing w:val="0"/>
          <w:sz w:val="33"/>
        </w:rPr>
        <w:t>督</w:t>
      </w:r>
      <w:r>
        <w:rPr>
          <w:rFonts w:hint="eastAsia" w:ascii="黑体" w:hAnsi="黑体" w:eastAsia="黑体" w:cs="黑体"/>
          <w:color w:val="000000"/>
          <w:spacing w:val="3"/>
          <w:sz w:val="33"/>
        </w:rPr>
        <w:t xml:space="preserve"> </w:t>
      </w:r>
      <w:r>
        <w:rPr>
          <w:rFonts w:hint="eastAsia" w:ascii="黑体" w:hAnsi="黑体" w:eastAsia="黑体" w:cs="黑体"/>
          <w:color w:val="000000"/>
          <w:spacing w:val="0"/>
          <w:sz w:val="33"/>
        </w:rPr>
        <w:t>管</w:t>
      </w:r>
      <w:r>
        <w:rPr>
          <w:rFonts w:hint="eastAsia" w:ascii="黑体" w:hAnsi="黑体" w:eastAsia="黑体" w:cs="黑体"/>
          <w:color w:val="000000"/>
          <w:spacing w:val="3"/>
          <w:sz w:val="33"/>
        </w:rPr>
        <w:t xml:space="preserve"> </w:t>
      </w:r>
      <w:r>
        <w:rPr>
          <w:rFonts w:hint="eastAsia" w:ascii="黑体" w:hAnsi="黑体" w:eastAsia="黑体" w:cs="黑体"/>
          <w:color w:val="000000"/>
          <w:spacing w:val="0"/>
          <w:sz w:val="33"/>
        </w:rPr>
        <w:t>理</w:t>
      </w:r>
      <w:r>
        <w:rPr>
          <w:rFonts w:hint="eastAsia" w:ascii="黑体" w:hAnsi="黑体" w:eastAsia="黑体" w:cs="黑体"/>
          <w:color w:val="000000"/>
          <w:spacing w:val="5"/>
          <w:sz w:val="33"/>
        </w:rPr>
        <w:t xml:space="preserve"> </w:t>
      </w:r>
      <w:r>
        <w:rPr>
          <w:rFonts w:hint="eastAsia" w:ascii="黑体" w:hAnsi="黑体" w:eastAsia="黑体" w:cs="黑体"/>
          <w:color w:val="000000"/>
          <w:spacing w:val="0"/>
          <w:sz w:val="33"/>
        </w:rPr>
        <w:t>局</w:t>
      </w:r>
    </w:p>
    <w:p w14:paraId="5B6F0006">
      <w:pPr>
        <w:keepNext w:val="0"/>
        <w:keepLines w:val="0"/>
        <w:pageBreakBefore w:val="0"/>
        <w:widowControl w:val="0"/>
        <w:kinsoku/>
        <w:wordWrap/>
        <w:overflowPunct/>
        <w:topLinePunct w:val="0"/>
        <w:autoSpaceDE/>
        <w:autoSpaceDN/>
        <w:bidi w:val="0"/>
        <w:adjustRightInd/>
        <w:snapToGrid/>
        <w:spacing w:before="850" w:beforeLines="0" w:after="680" w:afterLines="0" w:line="240" w:lineRule="auto"/>
        <w:ind w:left="0" w:leftChars="0" w:right="0" w:rightChars="0" w:firstLine="0" w:firstLineChars="0"/>
        <w:jc w:val="center"/>
        <w:textAlignment w:val="auto"/>
        <w:rPr>
          <w:rFonts w:hint="eastAsia" w:ascii="宋体" w:hAnsi="宋体" w:eastAsia="黑体"/>
          <w:sz w:val="32"/>
          <w:szCs w:val="32"/>
          <w:lang w:eastAsia="zh-CN"/>
        </w:rPr>
      </w:pPr>
      <w:r>
        <w:rPr>
          <w:rFonts w:hint="eastAsia" w:ascii="黑体" w:hAnsi="黑体" w:eastAsia="黑体" w:cs="黑体"/>
          <w:snapToGrid w:val="0"/>
          <w:color w:val="000000"/>
          <w:spacing w:val="-22"/>
          <w:kern w:val="0"/>
          <w:sz w:val="32"/>
          <w:szCs w:val="32"/>
          <w:lang w:val="en-US" w:eastAsia="en-US" w:bidi="ar-SA"/>
        </w:rPr>
        <w:t>目</w:t>
      </w:r>
      <w:r>
        <w:rPr>
          <w:rFonts w:hint="eastAsia" w:ascii="黑体" w:hAnsi="黑体" w:eastAsia="黑体" w:cs="黑体"/>
          <w:snapToGrid w:val="0"/>
          <w:color w:val="000000"/>
          <w:spacing w:val="-22"/>
          <w:kern w:val="0"/>
          <w:sz w:val="32"/>
          <w:szCs w:val="32"/>
          <w:lang w:val="en-US" w:eastAsia="zh-CN" w:bidi="ar-SA"/>
        </w:rPr>
        <w:t xml:space="preserve">     次</w:t>
      </w:r>
    </w:p>
    <w:p w14:paraId="633BE840">
      <w:pPr>
        <w:pStyle w:val="7"/>
        <w:tabs>
          <w:tab w:val="right" w:leader="dot" w:pos="9354"/>
        </w:tabs>
        <w:rPr>
          <w:rFonts w:hint="eastAsia" w:ascii="宋体" w:hAnsi="宋体" w:eastAsia="宋体" w:cs="宋体"/>
          <w:snapToGrid w:val="0"/>
          <w:color w:val="000000"/>
          <w:spacing w:val="1"/>
          <w:kern w:val="0"/>
          <w:sz w:val="21"/>
          <w:szCs w:val="21"/>
          <w:lang w:val="en-US" w:eastAsia="zh-CN" w:bidi="ar-SA"/>
        </w:rPr>
      </w:pPr>
      <w:r>
        <w:rPr>
          <w:rFonts w:hint="eastAsia"/>
        </w:rPr>
        <w:fldChar w:fldCharType="begin"/>
      </w:r>
      <w:r>
        <w:rPr>
          <w:rFonts w:hint="eastAsia"/>
        </w:rPr>
        <w:instrText xml:space="preserve">TOC \o "1-1" \h \u </w:instrText>
      </w:r>
      <w:r>
        <w:rPr>
          <w:rFonts w:hint="eastAsia"/>
        </w:rPr>
        <w:fldChar w:fldCharType="separate"/>
      </w:r>
      <w:r>
        <w:rPr>
          <w:rFonts w:hint="eastAsia" w:ascii="宋体" w:hAnsi="宋体" w:eastAsia="宋体" w:cs="宋体"/>
          <w:snapToGrid w:val="0"/>
          <w:color w:val="000000"/>
          <w:spacing w:val="1"/>
          <w:kern w:val="0"/>
          <w:sz w:val="21"/>
          <w:szCs w:val="21"/>
          <w:lang w:val="en-US" w:eastAsia="en-US" w:bidi="ar-SA"/>
        </w:rPr>
        <w:fldChar w:fldCharType="begin"/>
      </w:r>
      <w:r>
        <w:rPr>
          <w:rFonts w:hint="eastAsia" w:ascii="宋体" w:hAnsi="宋体" w:eastAsia="宋体" w:cs="宋体"/>
          <w:snapToGrid w:val="0"/>
          <w:color w:val="000000"/>
          <w:spacing w:val="1"/>
          <w:kern w:val="0"/>
          <w:sz w:val="21"/>
          <w:szCs w:val="21"/>
          <w:lang w:val="en-US" w:eastAsia="en-US" w:bidi="ar-SA"/>
        </w:rPr>
        <w:instrText xml:space="preserve"> HYPERLINK \l _Toc27368 </w:instrText>
      </w:r>
      <w:r>
        <w:rPr>
          <w:rFonts w:hint="eastAsia" w:ascii="宋体" w:hAnsi="宋体" w:eastAsia="宋体" w:cs="宋体"/>
          <w:snapToGrid w:val="0"/>
          <w:color w:val="000000"/>
          <w:spacing w:val="1"/>
          <w:kern w:val="0"/>
          <w:sz w:val="21"/>
          <w:szCs w:val="21"/>
          <w:lang w:val="en-US" w:eastAsia="en-US" w:bidi="ar-SA"/>
        </w:rPr>
        <w:fldChar w:fldCharType="separate"/>
      </w:r>
      <w:r>
        <w:rPr>
          <w:rFonts w:hint="eastAsia" w:ascii="宋体" w:hAnsi="宋体" w:eastAsia="宋体" w:cs="宋体"/>
          <w:snapToGrid w:val="0"/>
          <w:color w:val="000000"/>
          <w:spacing w:val="1"/>
          <w:kern w:val="0"/>
          <w:sz w:val="21"/>
          <w:szCs w:val="21"/>
          <w:lang w:val="en-US" w:eastAsia="en-US" w:bidi="ar-SA"/>
        </w:rPr>
        <w:t>前 </w:t>
      </w:r>
      <w:r>
        <w:rPr>
          <w:rFonts w:hint="eastAsia" w:ascii="宋体" w:hAnsi="宋体" w:eastAsia="宋体" w:cs="宋体"/>
          <w:snapToGrid w:val="0"/>
          <w:color w:val="000000"/>
          <w:spacing w:val="1"/>
          <w:kern w:val="0"/>
          <w:sz w:val="21"/>
          <w:szCs w:val="21"/>
          <w:lang w:val="en-US" w:eastAsia="zh-CN" w:bidi="ar-SA"/>
        </w:rPr>
        <w:t xml:space="preserve"> </w:t>
      </w:r>
      <w:r>
        <w:rPr>
          <w:rFonts w:hint="eastAsia" w:ascii="宋体" w:hAnsi="宋体" w:eastAsia="宋体" w:cs="宋体"/>
          <w:snapToGrid w:val="0"/>
          <w:color w:val="000000"/>
          <w:spacing w:val="1"/>
          <w:kern w:val="0"/>
          <w:sz w:val="21"/>
          <w:szCs w:val="21"/>
          <w:lang w:val="en-US" w:eastAsia="en-US" w:bidi="ar-SA"/>
        </w:rPr>
        <w:t>言</w:t>
      </w:r>
      <w:r>
        <w:rPr>
          <w:rFonts w:ascii="宋体" w:hAnsi="宋体" w:eastAsia="宋体" w:cs="宋体"/>
          <w:snapToGrid w:val="0"/>
          <w:color w:val="000000"/>
          <w:spacing w:val="1"/>
          <w:kern w:val="0"/>
          <w:sz w:val="21"/>
          <w:szCs w:val="21"/>
          <w:lang w:val="en-US" w:eastAsia="en-US" w:bidi="ar-SA"/>
        </w:rPr>
        <w:tab/>
      </w:r>
      <w:r>
        <w:rPr>
          <w:rFonts w:hint="eastAsia" w:ascii="宋体" w:hAnsi="宋体" w:eastAsia="宋体" w:cs="宋体"/>
          <w:snapToGrid w:val="0"/>
          <w:color w:val="000000"/>
          <w:spacing w:val="1"/>
          <w:kern w:val="0"/>
          <w:sz w:val="21"/>
          <w:szCs w:val="21"/>
          <w:lang w:val="en-US" w:eastAsia="zh-CN" w:bidi="ar-SA"/>
        </w:rPr>
        <w:t>I</w:t>
      </w:r>
      <w:r>
        <w:rPr>
          <w:rFonts w:hint="eastAsia" w:ascii="宋体" w:hAnsi="宋体" w:eastAsia="宋体" w:cs="宋体"/>
          <w:snapToGrid w:val="0"/>
          <w:color w:val="000000"/>
          <w:spacing w:val="1"/>
          <w:kern w:val="0"/>
          <w:sz w:val="21"/>
          <w:szCs w:val="21"/>
          <w:lang w:val="en-US" w:eastAsia="en-US" w:bidi="ar-SA"/>
        </w:rPr>
        <w:fldChar w:fldCharType="end"/>
      </w:r>
      <w:r>
        <w:rPr>
          <w:rFonts w:hint="eastAsia" w:ascii="宋体" w:hAnsi="宋体" w:eastAsia="宋体" w:cs="宋体"/>
          <w:snapToGrid w:val="0"/>
          <w:color w:val="000000"/>
          <w:spacing w:val="1"/>
          <w:kern w:val="0"/>
          <w:sz w:val="21"/>
          <w:szCs w:val="21"/>
          <w:lang w:val="en-US" w:eastAsia="zh-CN" w:bidi="ar-SA"/>
        </w:rPr>
        <w:t>I</w:t>
      </w:r>
    </w:p>
    <w:p w14:paraId="03DF4C64">
      <w:pPr>
        <w:pStyle w:val="7"/>
        <w:tabs>
          <w:tab w:val="right" w:leader="dot" w:pos="9354"/>
        </w:tabs>
        <w:rPr>
          <w:rFonts w:ascii="宋体" w:hAnsi="宋体" w:eastAsia="宋体" w:cs="宋体"/>
          <w:snapToGrid w:val="0"/>
          <w:color w:val="000000"/>
          <w:spacing w:val="1"/>
          <w:kern w:val="0"/>
          <w:sz w:val="21"/>
          <w:szCs w:val="21"/>
          <w:lang w:val="en-US" w:eastAsia="en-US" w:bidi="ar-SA"/>
        </w:rPr>
      </w:pPr>
      <w:r>
        <w:rPr>
          <w:rFonts w:hint="eastAsia" w:ascii="宋体" w:hAnsi="宋体" w:eastAsia="宋体" w:cs="宋体"/>
          <w:snapToGrid w:val="0"/>
          <w:color w:val="000000"/>
          <w:spacing w:val="1"/>
          <w:kern w:val="0"/>
          <w:sz w:val="21"/>
          <w:szCs w:val="21"/>
          <w:lang w:val="en-US" w:eastAsia="en-US" w:bidi="ar-SA"/>
        </w:rPr>
        <w:fldChar w:fldCharType="begin"/>
      </w:r>
      <w:r>
        <w:rPr>
          <w:rFonts w:hint="eastAsia" w:ascii="宋体" w:hAnsi="宋体" w:eastAsia="宋体" w:cs="宋体"/>
          <w:snapToGrid w:val="0"/>
          <w:color w:val="000000"/>
          <w:spacing w:val="1"/>
          <w:kern w:val="0"/>
          <w:sz w:val="21"/>
          <w:szCs w:val="21"/>
          <w:lang w:val="en-US" w:eastAsia="en-US" w:bidi="ar-SA"/>
        </w:rPr>
        <w:instrText xml:space="preserve"> HYPERLINK \l _Toc29519 </w:instrText>
      </w:r>
      <w:r>
        <w:rPr>
          <w:rFonts w:hint="eastAsia" w:ascii="宋体" w:hAnsi="宋体" w:eastAsia="宋体" w:cs="宋体"/>
          <w:snapToGrid w:val="0"/>
          <w:color w:val="000000"/>
          <w:spacing w:val="1"/>
          <w:kern w:val="0"/>
          <w:sz w:val="21"/>
          <w:szCs w:val="21"/>
          <w:lang w:val="en-US" w:eastAsia="en-US" w:bidi="ar-SA"/>
        </w:rPr>
        <w:fldChar w:fldCharType="separate"/>
      </w:r>
      <w:r>
        <w:rPr>
          <w:rFonts w:hint="eastAsia" w:ascii="宋体" w:hAnsi="宋体" w:eastAsia="宋体" w:cs="宋体"/>
          <w:snapToGrid w:val="0"/>
          <w:color w:val="000000"/>
          <w:spacing w:val="1"/>
          <w:kern w:val="0"/>
          <w:sz w:val="21"/>
          <w:szCs w:val="21"/>
          <w:lang w:val="en-US" w:eastAsia="en-US" w:bidi="ar-SA"/>
        </w:rPr>
        <w:t>1  范围</w:t>
      </w:r>
      <w:r>
        <w:rPr>
          <w:rFonts w:ascii="宋体" w:hAnsi="宋体" w:eastAsia="宋体" w:cs="宋体"/>
          <w:snapToGrid w:val="0"/>
          <w:color w:val="000000"/>
          <w:spacing w:val="1"/>
          <w:kern w:val="0"/>
          <w:sz w:val="21"/>
          <w:szCs w:val="21"/>
          <w:lang w:val="en-US" w:eastAsia="en-US" w:bidi="ar-SA"/>
        </w:rPr>
        <w:tab/>
      </w:r>
      <w:r>
        <w:rPr>
          <w:rFonts w:hint="eastAsia" w:ascii="宋体" w:hAnsi="宋体" w:eastAsia="宋体" w:cs="宋体"/>
          <w:snapToGrid w:val="0"/>
          <w:color w:val="000000"/>
          <w:spacing w:val="1"/>
          <w:kern w:val="0"/>
          <w:sz w:val="21"/>
          <w:szCs w:val="21"/>
          <w:lang w:val="en-US" w:eastAsia="zh-CN" w:bidi="ar-SA"/>
        </w:rPr>
        <w:t>1</w:t>
      </w:r>
      <w:r>
        <w:rPr>
          <w:rFonts w:hint="eastAsia" w:ascii="宋体" w:hAnsi="宋体" w:eastAsia="宋体" w:cs="宋体"/>
          <w:snapToGrid w:val="0"/>
          <w:color w:val="000000"/>
          <w:spacing w:val="1"/>
          <w:kern w:val="0"/>
          <w:sz w:val="21"/>
          <w:szCs w:val="21"/>
          <w:lang w:val="en-US" w:eastAsia="en-US" w:bidi="ar-SA"/>
        </w:rPr>
        <w:fldChar w:fldCharType="end"/>
      </w:r>
    </w:p>
    <w:p w14:paraId="6327CB28">
      <w:pPr>
        <w:pStyle w:val="7"/>
        <w:tabs>
          <w:tab w:val="right" w:leader="dot" w:pos="9354"/>
        </w:tabs>
        <w:rPr>
          <w:rFonts w:ascii="宋体" w:hAnsi="宋体" w:eastAsia="宋体" w:cs="宋体"/>
          <w:snapToGrid w:val="0"/>
          <w:color w:val="000000"/>
          <w:spacing w:val="1"/>
          <w:kern w:val="0"/>
          <w:sz w:val="21"/>
          <w:szCs w:val="21"/>
          <w:lang w:val="en-US" w:eastAsia="en-US" w:bidi="ar-SA"/>
        </w:rPr>
      </w:pPr>
      <w:r>
        <w:rPr>
          <w:rFonts w:hint="eastAsia" w:ascii="宋体" w:hAnsi="宋体" w:eastAsia="宋体" w:cs="宋体"/>
          <w:snapToGrid w:val="0"/>
          <w:color w:val="000000"/>
          <w:spacing w:val="1"/>
          <w:kern w:val="0"/>
          <w:sz w:val="21"/>
          <w:szCs w:val="21"/>
          <w:lang w:val="en-US" w:eastAsia="en-US" w:bidi="ar-SA"/>
        </w:rPr>
        <w:fldChar w:fldCharType="begin"/>
      </w:r>
      <w:r>
        <w:rPr>
          <w:rFonts w:hint="eastAsia" w:ascii="宋体" w:hAnsi="宋体" w:eastAsia="宋体" w:cs="宋体"/>
          <w:snapToGrid w:val="0"/>
          <w:color w:val="000000"/>
          <w:spacing w:val="1"/>
          <w:kern w:val="0"/>
          <w:sz w:val="21"/>
          <w:szCs w:val="21"/>
          <w:lang w:val="en-US" w:eastAsia="en-US" w:bidi="ar-SA"/>
        </w:rPr>
        <w:instrText xml:space="preserve"> HYPERLINK \l _Toc3040 </w:instrText>
      </w:r>
      <w:r>
        <w:rPr>
          <w:rFonts w:hint="eastAsia" w:ascii="宋体" w:hAnsi="宋体" w:eastAsia="宋体" w:cs="宋体"/>
          <w:snapToGrid w:val="0"/>
          <w:color w:val="000000"/>
          <w:spacing w:val="1"/>
          <w:kern w:val="0"/>
          <w:sz w:val="21"/>
          <w:szCs w:val="21"/>
          <w:lang w:val="en-US" w:eastAsia="en-US" w:bidi="ar-SA"/>
        </w:rPr>
        <w:fldChar w:fldCharType="separate"/>
      </w:r>
      <w:r>
        <w:rPr>
          <w:rFonts w:ascii="宋体" w:hAnsi="宋体" w:eastAsia="宋体" w:cs="宋体"/>
          <w:snapToGrid w:val="0"/>
          <w:color w:val="000000"/>
          <w:spacing w:val="1"/>
          <w:kern w:val="0"/>
          <w:sz w:val="21"/>
          <w:szCs w:val="21"/>
          <w:lang w:val="en-US" w:eastAsia="en-US" w:bidi="ar-SA"/>
        </w:rPr>
        <w:t>2</w:t>
      </w:r>
      <w:r>
        <w:rPr>
          <w:rFonts w:hint="eastAsia" w:ascii="宋体" w:hAnsi="宋体" w:eastAsia="宋体" w:cs="宋体"/>
          <w:snapToGrid w:val="0"/>
          <w:color w:val="000000"/>
          <w:spacing w:val="1"/>
          <w:kern w:val="0"/>
          <w:sz w:val="21"/>
          <w:szCs w:val="21"/>
          <w:lang w:val="en-US" w:eastAsia="en-US" w:bidi="ar-SA"/>
        </w:rPr>
        <w:t xml:space="preserve">  规范性引用文件</w:t>
      </w:r>
      <w:r>
        <w:rPr>
          <w:rFonts w:ascii="宋体" w:hAnsi="宋体" w:eastAsia="宋体" w:cs="宋体"/>
          <w:snapToGrid w:val="0"/>
          <w:color w:val="000000"/>
          <w:spacing w:val="1"/>
          <w:kern w:val="0"/>
          <w:sz w:val="21"/>
          <w:szCs w:val="21"/>
          <w:lang w:val="en-US" w:eastAsia="en-US" w:bidi="ar-SA"/>
        </w:rPr>
        <w:tab/>
      </w:r>
      <w:r>
        <w:rPr>
          <w:rFonts w:hint="eastAsia" w:ascii="宋体" w:hAnsi="宋体" w:eastAsia="宋体" w:cs="宋体"/>
          <w:snapToGrid w:val="0"/>
          <w:color w:val="000000"/>
          <w:spacing w:val="1"/>
          <w:kern w:val="0"/>
          <w:sz w:val="21"/>
          <w:szCs w:val="21"/>
          <w:lang w:val="en-US" w:eastAsia="zh-CN" w:bidi="ar-SA"/>
        </w:rPr>
        <w:t>1</w:t>
      </w:r>
      <w:r>
        <w:rPr>
          <w:rFonts w:hint="eastAsia" w:ascii="宋体" w:hAnsi="宋体" w:eastAsia="宋体" w:cs="宋体"/>
          <w:snapToGrid w:val="0"/>
          <w:color w:val="000000"/>
          <w:spacing w:val="1"/>
          <w:kern w:val="0"/>
          <w:sz w:val="21"/>
          <w:szCs w:val="21"/>
          <w:lang w:val="en-US" w:eastAsia="en-US" w:bidi="ar-SA"/>
        </w:rPr>
        <w:fldChar w:fldCharType="end"/>
      </w:r>
    </w:p>
    <w:p w14:paraId="33F24A6D">
      <w:pPr>
        <w:pStyle w:val="7"/>
        <w:tabs>
          <w:tab w:val="right" w:leader="dot" w:pos="9354"/>
        </w:tabs>
        <w:rPr>
          <w:rFonts w:ascii="宋体" w:hAnsi="宋体" w:eastAsia="宋体" w:cs="宋体"/>
          <w:snapToGrid w:val="0"/>
          <w:color w:val="000000"/>
          <w:spacing w:val="1"/>
          <w:kern w:val="0"/>
          <w:sz w:val="21"/>
          <w:szCs w:val="21"/>
          <w:lang w:val="en-US" w:eastAsia="en-US" w:bidi="ar-SA"/>
        </w:rPr>
      </w:pPr>
      <w:r>
        <w:rPr>
          <w:rFonts w:hint="eastAsia" w:ascii="宋体" w:hAnsi="宋体" w:eastAsia="宋体" w:cs="宋体"/>
          <w:snapToGrid w:val="0"/>
          <w:color w:val="000000"/>
          <w:spacing w:val="1"/>
          <w:kern w:val="0"/>
          <w:sz w:val="21"/>
          <w:szCs w:val="21"/>
          <w:lang w:val="en-US" w:eastAsia="en-US" w:bidi="ar-SA"/>
        </w:rPr>
        <w:fldChar w:fldCharType="begin"/>
      </w:r>
      <w:r>
        <w:rPr>
          <w:rFonts w:hint="eastAsia" w:ascii="宋体" w:hAnsi="宋体" w:eastAsia="宋体" w:cs="宋体"/>
          <w:snapToGrid w:val="0"/>
          <w:color w:val="000000"/>
          <w:spacing w:val="1"/>
          <w:kern w:val="0"/>
          <w:sz w:val="21"/>
          <w:szCs w:val="21"/>
          <w:lang w:val="en-US" w:eastAsia="en-US" w:bidi="ar-SA"/>
        </w:rPr>
        <w:instrText xml:space="preserve"> HYPERLINK \l _Toc3060 </w:instrText>
      </w:r>
      <w:r>
        <w:rPr>
          <w:rFonts w:hint="eastAsia" w:ascii="宋体" w:hAnsi="宋体" w:eastAsia="宋体" w:cs="宋体"/>
          <w:snapToGrid w:val="0"/>
          <w:color w:val="000000"/>
          <w:spacing w:val="1"/>
          <w:kern w:val="0"/>
          <w:sz w:val="21"/>
          <w:szCs w:val="21"/>
          <w:lang w:val="en-US" w:eastAsia="en-US" w:bidi="ar-SA"/>
        </w:rPr>
        <w:fldChar w:fldCharType="separate"/>
      </w:r>
      <w:r>
        <w:rPr>
          <w:rFonts w:hint="eastAsia" w:ascii="宋体" w:hAnsi="宋体" w:eastAsia="宋体" w:cs="宋体"/>
          <w:snapToGrid w:val="0"/>
          <w:color w:val="000000"/>
          <w:spacing w:val="1"/>
          <w:kern w:val="0"/>
          <w:sz w:val="21"/>
          <w:szCs w:val="21"/>
          <w:lang w:val="en-US" w:eastAsia="en-US" w:bidi="ar-SA"/>
        </w:rPr>
        <w:t>3  术语和定义</w:t>
      </w:r>
      <w:r>
        <w:rPr>
          <w:rFonts w:ascii="宋体" w:hAnsi="宋体" w:eastAsia="宋体" w:cs="宋体"/>
          <w:snapToGrid w:val="0"/>
          <w:color w:val="000000"/>
          <w:spacing w:val="1"/>
          <w:kern w:val="0"/>
          <w:sz w:val="21"/>
          <w:szCs w:val="21"/>
          <w:lang w:val="en-US" w:eastAsia="en-US" w:bidi="ar-SA"/>
        </w:rPr>
        <w:tab/>
      </w:r>
      <w:r>
        <w:rPr>
          <w:rFonts w:hint="eastAsia" w:ascii="宋体" w:hAnsi="宋体" w:eastAsia="宋体" w:cs="宋体"/>
          <w:snapToGrid w:val="0"/>
          <w:color w:val="000000"/>
          <w:spacing w:val="1"/>
          <w:kern w:val="0"/>
          <w:sz w:val="21"/>
          <w:szCs w:val="21"/>
          <w:lang w:val="en-US" w:eastAsia="zh-CN" w:bidi="ar-SA"/>
        </w:rPr>
        <w:t>2</w:t>
      </w:r>
      <w:r>
        <w:rPr>
          <w:rFonts w:hint="eastAsia" w:ascii="宋体" w:hAnsi="宋体" w:eastAsia="宋体" w:cs="宋体"/>
          <w:snapToGrid w:val="0"/>
          <w:color w:val="000000"/>
          <w:spacing w:val="1"/>
          <w:kern w:val="0"/>
          <w:sz w:val="21"/>
          <w:szCs w:val="21"/>
          <w:lang w:val="en-US" w:eastAsia="en-US" w:bidi="ar-SA"/>
        </w:rPr>
        <w:fldChar w:fldCharType="end"/>
      </w:r>
    </w:p>
    <w:p w14:paraId="120A257F">
      <w:pPr>
        <w:pStyle w:val="7"/>
        <w:tabs>
          <w:tab w:val="right" w:leader="dot" w:pos="9354"/>
        </w:tabs>
        <w:rPr>
          <w:rFonts w:ascii="宋体" w:hAnsi="宋体" w:eastAsia="宋体" w:cs="宋体"/>
          <w:snapToGrid w:val="0"/>
          <w:color w:val="000000"/>
          <w:spacing w:val="1"/>
          <w:kern w:val="0"/>
          <w:sz w:val="21"/>
          <w:szCs w:val="21"/>
          <w:lang w:val="en-US" w:eastAsia="en-US" w:bidi="ar-SA"/>
        </w:rPr>
      </w:pPr>
      <w:r>
        <w:rPr>
          <w:rFonts w:hint="eastAsia" w:ascii="宋体" w:hAnsi="宋体" w:eastAsia="宋体" w:cs="宋体"/>
          <w:snapToGrid w:val="0"/>
          <w:color w:val="000000"/>
          <w:spacing w:val="1"/>
          <w:kern w:val="0"/>
          <w:sz w:val="21"/>
          <w:szCs w:val="21"/>
          <w:lang w:val="en-US" w:eastAsia="en-US" w:bidi="ar-SA"/>
        </w:rPr>
        <w:fldChar w:fldCharType="begin"/>
      </w:r>
      <w:r>
        <w:rPr>
          <w:rFonts w:hint="eastAsia" w:ascii="宋体" w:hAnsi="宋体" w:eastAsia="宋体" w:cs="宋体"/>
          <w:snapToGrid w:val="0"/>
          <w:color w:val="000000"/>
          <w:spacing w:val="1"/>
          <w:kern w:val="0"/>
          <w:sz w:val="21"/>
          <w:szCs w:val="21"/>
          <w:lang w:val="en-US" w:eastAsia="en-US" w:bidi="ar-SA"/>
        </w:rPr>
        <w:instrText xml:space="preserve"> HYPERLINK \l _Toc20694 </w:instrText>
      </w:r>
      <w:r>
        <w:rPr>
          <w:rFonts w:hint="eastAsia" w:ascii="宋体" w:hAnsi="宋体" w:eastAsia="宋体" w:cs="宋体"/>
          <w:snapToGrid w:val="0"/>
          <w:color w:val="000000"/>
          <w:spacing w:val="1"/>
          <w:kern w:val="0"/>
          <w:sz w:val="21"/>
          <w:szCs w:val="21"/>
          <w:lang w:val="en-US" w:eastAsia="en-US" w:bidi="ar-SA"/>
        </w:rPr>
        <w:fldChar w:fldCharType="separate"/>
      </w:r>
      <w:r>
        <w:rPr>
          <w:rFonts w:hint="eastAsia" w:ascii="宋体" w:hAnsi="宋体" w:eastAsia="宋体" w:cs="宋体"/>
          <w:snapToGrid w:val="0"/>
          <w:color w:val="000000"/>
          <w:spacing w:val="1"/>
          <w:kern w:val="0"/>
          <w:sz w:val="21"/>
          <w:szCs w:val="21"/>
          <w:lang w:val="en-US" w:eastAsia="en-US" w:bidi="ar-SA"/>
        </w:rPr>
        <w:t>4  自行监测的一般要求</w:t>
      </w:r>
      <w:r>
        <w:rPr>
          <w:rFonts w:ascii="宋体" w:hAnsi="宋体" w:eastAsia="宋体" w:cs="宋体"/>
          <w:snapToGrid w:val="0"/>
          <w:color w:val="000000"/>
          <w:spacing w:val="1"/>
          <w:kern w:val="0"/>
          <w:sz w:val="21"/>
          <w:szCs w:val="21"/>
          <w:lang w:val="en-US" w:eastAsia="en-US" w:bidi="ar-SA"/>
        </w:rPr>
        <w:tab/>
      </w:r>
      <w:r>
        <w:rPr>
          <w:rFonts w:hint="eastAsia" w:ascii="宋体" w:hAnsi="宋体" w:eastAsia="宋体" w:cs="宋体"/>
          <w:snapToGrid w:val="0"/>
          <w:color w:val="000000"/>
          <w:spacing w:val="1"/>
          <w:kern w:val="0"/>
          <w:sz w:val="21"/>
          <w:szCs w:val="21"/>
          <w:lang w:val="en-US" w:eastAsia="zh-CN" w:bidi="ar-SA"/>
        </w:rPr>
        <w:t>2</w:t>
      </w:r>
      <w:r>
        <w:rPr>
          <w:rFonts w:hint="eastAsia" w:ascii="宋体" w:hAnsi="宋体" w:eastAsia="宋体" w:cs="宋体"/>
          <w:snapToGrid w:val="0"/>
          <w:color w:val="000000"/>
          <w:spacing w:val="1"/>
          <w:kern w:val="0"/>
          <w:sz w:val="21"/>
          <w:szCs w:val="21"/>
          <w:lang w:val="en-US" w:eastAsia="en-US" w:bidi="ar-SA"/>
        </w:rPr>
        <w:fldChar w:fldCharType="end"/>
      </w:r>
    </w:p>
    <w:p w14:paraId="614DD640">
      <w:pPr>
        <w:pStyle w:val="7"/>
        <w:tabs>
          <w:tab w:val="right" w:leader="dot" w:pos="9354"/>
        </w:tabs>
        <w:rPr>
          <w:rFonts w:ascii="宋体" w:hAnsi="宋体" w:eastAsia="宋体" w:cs="宋体"/>
          <w:snapToGrid w:val="0"/>
          <w:color w:val="000000"/>
          <w:spacing w:val="1"/>
          <w:kern w:val="0"/>
          <w:sz w:val="21"/>
          <w:szCs w:val="21"/>
          <w:lang w:val="en-US" w:eastAsia="en-US" w:bidi="ar-SA"/>
        </w:rPr>
      </w:pPr>
      <w:r>
        <w:rPr>
          <w:rFonts w:hint="eastAsia" w:ascii="宋体" w:hAnsi="宋体" w:eastAsia="宋体" w:cs="宋体"/>
          <w:snapToGrid w:val="0"/>
          <w:color w:val="000000"/>
          <w:spacing w:val="1"/>
          <w:kern w:val="0"/>
          <w:sz w:val="21"/>
          <w:szCs w:val="21"/>
          <w:lang w:val="en-US" w:eastAsia="en-US" w:bidi="ar-SA"/>
        </w:rPr>
        <w:fldChar w:fldCharType="begin"/>
      </w:r>
      <w:r>
        <w:rPr>
          <w:rFonts w:hint="eastAsia" w:ascii="宋体" w:hAnsi="宋体" w:eastAsia="宋体" w:cs="宋体"/>
          <w:snapToGrid w:val="0"/>
          <w:color w:val="000000"/>
          <w:spacing w:val="1"/>
          <w:kern w:val="0"/>
          <w:sz w:val="21"/>
          <w:szCs w:val="21"/>
          <w:lang w:val="en-US" w:eastAsia="en-US" w:bidi="ar-SA"/>
        </w:rPr>
        <w:instrText xml:space="preserve"> HYPERLINK \l _Toc2947 </w:instrText>
      </w:r>
      <w:r>
        <w:rPr>
          <w:rFonts w:hint="eastAsia" w:ascii="宋体" w:hAnsi="宋体" w:eastAsia="宋体" w:cs="宋体"/>
          <w:snapToGrid w:val="0"/>
          <w:color w:val="000000"/>
          <w:spacing w:val="1"/>
          <w:kern w:val="0"/>
          <w:sz w:val="21"/>
          <w:szCs w:val="21"/>
          <w:lang w:val="en-US" w:eastAsia="en-US" w:bidi="ar-SA"/>
        </w:rPr>
        <w:fldChar w:fldCharType="separate"/>
      </w:r>
      <w:r>
        <w:rPr>
          <w:rFonts w:hint="eastAsia" w:ascii="宋体" w:hAnsi="宋体" w:eastAsia="宋体" w:cs="宋体"/>
          <w:snapToGrid w:val="0"/>
          <w:color w:val="000000"/>
          <w:spacing w:val="1"/>
          <w:kern w:val="0"/>
          <w:sz w:val="21"/>
          <w:szCs w:val="21"/>
          <w:lang w:val="en-US" w:eastAsia="en-US" w:bidi="ar-SA"/>
        </w:rPr>
        <w:t>5  监测方案的制定</w:t>
      </w:r>
      <w:r>
        <w:rPr>
          <w:rFonts w:ascii="宋体" w:hAnsi="宋体" w:eastAsia="宋体" w:cs="宋体"/>
          <w:snapToGrid w:val="0"/>
          <w:color w:val="000000"/>
          <w:spacing w:val="1"/>
          <w:kern w:val="0"/>
          <w:sz w:val="21"/>
          <w:szCs w:val="21"/>
          <w:lang w:val="en-US" w:eastAsia="en-US" w:bidi="ar-SA"/>
        </w:rPr>
        <w:tab/>
      </w:r>
      <w:r>
        <w:rPr>
          <w:rFonts w:hint="eastAsia" w:ascii="宋体" w:hAnsi="宋体" w:eastAsia="宋体" w:cs="宋体"/>
          <w:snapToGrid w:val="0"/>
          <w:color w:val="000000"/>
          <w:spacing w:val="1"/>
          <w:kern w:val="0"/>
          <w:sz w:val="21"/>
          <w:szCs w:val="21"/>
          <w:lang w:val="en-US" w:eastAsia="zh-CN" w:bidi="ar-SA"/>
        </w:rPr>
        <w:t>2</w:t>
      </w:r>
      <w:r>
        <w:rPr>
          <w:rFonts w:hint="eastAsia" w:ascii="宋体" w:hAnsi="宋体" w:eastAsia="宋体" w:cs="宋体"/>
          <w:snapToGrid w:val="0"/>
          <w:color w:val="000000"/>
          <w:spacing w:val="1"/>
          <w:kern w:val="0"/>
          <w:sz w:val="21"/>
          <w:szCs w:val="21"/>
          <w:lang w:val="en-US" w:eastAsia="en-US" w:bidi="ar-SA"/>
        </w:rPr>
        <w:fldChar w:fldCharType="end"/>
      </w:r>
    </w:p>
    <w:p w14:paraId="3EF1E3D2">
      <w:pPr>
        <w:pStyle w:val="7"/>
        <w:tabs>
          <w:tab w:val="right" w:leader="dot" w:pos="9354"/>
        </w:tabs>
        <w:rPr>
          <w:rFonts w:ascii="宋体" w:hAnsi="宋体" w:eastAsia="宋体" w:cs="宋体"/>
          <w:snapToGrid w:val="0"/>
          <w:color w:val="000000"/>
          <w:spacing w:val="1"/>
          <w:kern w:val="0"/>
          <w:sz w:val="21"/>
          <w:szCs w:val="21"/>
          <w:lang w:val="en-US" w:eastAsia="en-US" w:bidi="ar-SA"/>
        </w:rPr>
      </w:pPr>
      <w:r>
        <w:rPr>
          <w:rFonts w:hint="eastAsia" w:ascii="宋体" w:hAnsi="宋体" w:eastAsia="宋体" w:cs="宋体"/>
          <w:snapToGrid w:val="0"/>
          <w:color w:val="000000"/>
          <w:spacing w:val="1"/>
          <w:kern w:val="0"/>
          <w:sz w:val="21"/>
          <w:szCs w:val="21"/>
          <w:lang w:val="en-US" w:eastAsia="en-US" w:bidi="ar-SA"/>
        </w:rPr>
        <w:fldChar w:fldCharType="begin"/>
      </w:r>
      <w:r>
        <w:rPr>
          <w:rFonts w:hint="eastAsia" w:ascii="宋体" w:hAnsi="宋体" w:eastAsia="宋体" w:cs="宋体"/>
          <w:snapToGrid w:val="0"/>
          <w:color w:val="000000"/>
          <w:spacing w:val="1"/>
          <w:kern w:val="0"/>
          <w:sz w:val="21"/>
          <w:szCs w:val="21"/>
          <w:lang w:val="en-US" w:eastAsia="en-US" w:bidi="ar-SA"/>
        </w:rPr>
        <w:instrText xml:space="preserve"> HYPERLINK \l _Toc30061 </w:instrText>
      </w:r>
      <w:r>
        <w:rPr>
          <w:rFonts w:hint="eastAsia" w:ascii="宋体" w:hAnsi="宋体" w:eastAsia="宋体" w:cs="宋体"/>
          <w:snapToGrid w:val="0"/>
          <w:color w:val="000000"/>
          <w:spacing w:val="1"/>
          <w:kern w:val="0"/>
          <w:sz w:val="21"/>
          <w:szCs w:val="21"/>
          <w:lang w:val="en-US" w:eastAsia="en-US" w:bidi="ar-SA"/>
        </w:rPr>
        <w:fldChar w:fldCharType="separate"/>
      </w:r>
      <w:r>
        <w:rPr>
          <w:rFonts w:hint="eastAsia" w:ascii="宋体" w:hAnsi="宋体" w:eastAsia="宋体" w:cs="宋体"/>
          <w:snapToGrid w:val="0"/>
          <w:color w:val="000000"/>
          <w:spacing w:val="1"/>
          <w:kern w:val="0"/>
          <w:sz w:val="21"/>
          <w:szCs w:val="21"/>
          <w:lang w:val="en-US" w:eastAsia="en-US" w:bidi="ar-SA"/>
        </w:rPr>
        <w:t>6  信息记录和报告</w:t>
      </w:r>
      <w:r>
        <w:rPr>
          <w:rFonts w:ascii="宋体" w:hAnsi="宋体" w:eastAsia="宋体" w:cs="宋体"/>
          <w:snapToGrid w:val="0"/>
          <w:color w:val="000000"/>
          <w:spacing w:val="1"/>
          <w:kern w:val="0"/>
          <w:sz w:val="21"/>
          <w:szCs w:val="21"/>
          <w:lang w:val="en-US" w:eastAsia="en-US" w:bidi="ar-SA"/>
        </w:rPr>
        <w:tab/>
      </w:r>
      <w:r>
        <w:rPr>
          <w:rFonts w:hint="eastAsia" w:ascii="宋体" w:hAnsi="宋体" w:eastAsia="宋体" w:cs="宋体"/>
          <w:snapToGrid w:val="0"/>
          <w:color w:val="000000"/>
          <w:spacing w:val="1"/>
          <w:kern w:val="0"/>
          <w:sz w:val="21"/>
          <w:szCs w:val="21"/>
          <w:lang w:val="en-US" w:eastAsia="zh-CN" w:bidi="ar-SA"/>
        </w:rPr>
        <w:t>4</w:t>
      </w:r>
      <w:r>
        <w:rPr>
          <w:rFonts w:hint="eastAsia" w:ascii="宋体" w:hAnsi="宋体" w:eastAsia="宋体" w:cs="宋体"/>
          <w:snapToGrid w:val="0"/>
          <w:color w:val="000000"/>
          <w:spacing w:val="1"/>
          <w:kern w:val="0"/>
          <w:sz w:val="21"/>
          <w:szCs w:val="21"/>
          <w:lang w:val="en-US" w:eastAsia="en-US" w:bidi="ar-SA"/>
        </w:rPr>
        <w:fldChar w:fldCharType="end"/>
      </w:r>
    </w:p>
    <w:p w14:paraId="3D6C8AA1">
      <w:pPr>
        <w:pStyle w:val="7"/>
        <w:tabs>
          <w:tab w:val="right" w:leader="dot" w:pos="9354"/>
        </w:tabs>
      </w:pPr>
      <w:r>
        <w:rPr>
          <w:rFonts w:hint="eastAsia" w:ascii="宋体" w:hAnsi="宋体" w:eastAsia="宋体" w:cs="宋体"/>
          <w:snapToGrid w:val="0"/>
          <w:color w:val="000000"/>
          <w:spacing w:val="1"/>
          <w:kern w:val="0"/>
          <w:sz w:val="21"/>
          <w:szCs w:val="21"/>
          <w:lang w:val="en-US" w:eastAsia="en-US" w:bidi="ar-SA"/>
        </w:rPr>
        <w:fldChar w:fldCharType="begin"/>
      </w:r>
      <w:r>
        <w:rPr>
          <w:rFonts w:hint="eastAsia" w:ascii="宋体" w:hAnsi="宋体" w:eastAsia="宋体" w:cs="宋体"/>
          <w:snapToGrid w:val="0"/>
          <w:color w:val="000000"/>
          <w:spacing w:val="1"/>
          <w:kern w:val="0"/>
          <w:sz w:val="21"/>
          <w:szCs w:val="21"/>
          <w:lang w:val="en-US" w:eastAsia="en-US" w:bidi="ar-SA"/>
        </w:rPr>
        <w:instrText xml:space="preserve"> HYPERLINK \l _Toc2058 </w:instrText>
      </w:r>
      <w:r>
        <w:rPr>
          <w:rFonts w:hint="eastAsia" w:ascii="宋体" w:hAnsi="宋体" w:eastAsia="宋体" w:cs="宋体"/>
          <w:snapToGrid w:val="0"/>
          <w:color w:val="000000"/>
          <w:spacing w:val="1"/>
          <w:kern w:val="0"/>
          <w:sz w:val="21"/>
          <w:szCs w:val="21"/>
          <w:lang w:val="en-US" w:eastAsia="en-US" w:bidi="ar-SA"/>
        </w:rPr>
        <w:fldChar w:fldCharType="separate"/>
      </w:r>
      <w:r>
        <w:rPr>
          <w:rFonts w:hint="eastAsia" w:ascii="宋体" w:hAnsi="宋体" w:eastAsia="宋体" w:cs="宋体"/>
          <w:snapToGrid w:val="0"/>
          <w:color w:val="000000"/>
          <w:spacing w:val="1"/>
          <w:kern w:val="0"/>
          <w:sz w:val="21"/>
          <w:szCs w:val="21"/>
          <w:lang w:val="en-US" w:eastAsia="en-US" w:bidi="ar-SA"/>
        </w:rPr>
        <w:t>7  其他</w:t>
      </w:r>
      <w:r>
        <w:rPr>
          <w:rFonts w:ascii="宋体" w:hAnsi="宋体" w:eastAsia="宋体" w:cs="宋体"/>
          <w:snapToGrid w:val="0"/>
          <w:color w:val="000000"/>
          <w:spacing w:val="1"/>
          <w:kern w:val="0"/>
          <w:sz w:val="21"/>
          <w:szCs w:val="21"/>
          <w:lang w:val="en-US" w:eastAsia="en-US" w:bidi="ar-SA"/>
        </w:rPr>
        <w:tab/>
      </w:r>
      <w:r>
        <w:rPr>
          <w:rFonts w:hint="eastAsia" w:ascii="宋体" w:hAnsi="宋体" w:eastAsia="宋体" w:cs="宋体"/>
          <w:snapToGrid w:val="0"/>
          <w:color w:val="000000"/>
          <w:spacing w:val="1"/>
          <w:kern w:val="0"/>
          <w:sz w:val="21"/>
          <w:szCs w:val="21"/>
          <w:lang w:val="en-US" w:eastAsia="zh-CN" w:bidi="ar-SA"/>
        </w:rPr>
        <w:t>5</w:t>
      </w:r>
      <w:r>
        <w:rPr>
          <w:rFonts w:hint="eastAsia" w:ascii="宋体" w:hAnsi="宋体" w:eastAsia="宋体" w:cs="宋体"/>
          <w:snapToGrid w:val="0"/>
          <w:color w:val="000000"/>
          <w:spacing w:val="1"/>
          <w:kern w:val="0"/>
          <w:sz w:val="21"/>
          <w:szCs w:val="21"/>
          <w:lang w:val="en-US" w:eastAsia="en-US" w:bidi="ar-SA"/>
        </w:rPr>
        <w:fldChar w:fldCharType="end"/>
      </w:r>
    </w:p>
    <w:p w14:paraId="78605CC2">
      <w:pPr>
        <w:rPr>
          <w:rFonts w:hint="eastAsia" w:asciiTheme="minorHAnsi" w:hAnsiTheme="minorHAnsi" w:eastAsiaTheme="minorEastAsia" w:cstheme="minorBidi"/>
          <w:kern w:val="2"/>
          <w:sz w:val="21"/>
          <w:szCs w:val="24"/>
          <w:lang w:val="en-US" w:eastAsia="zh-CN" w:bidi="ar-SA"/>
        </w:rPr>
      </w:pPr>
      <w:r>
        <w:rPr>
          <w:rFonts w:hint="eastAsia"/>
        </w:rPr>
        <w:fldChar w:fldCharType="end"/>
      </w:r>
    </w:p>
    <w:p w14:paraId="3B8B91DE">
      <w:pPr>
        <w:rPr>
          <w:rFonts w:hint="eastAsia" w:asciiTheme="minorHAnsi" w:hAnsiTheme="minorHAnsi" w:eastAsiaTheme="minorEastAsia" w:cstheme="minorBidi"/>
          <w:kern w:val="2"/>
          <w:sz w:val="21"/>
          <w:szCs w:val="24"/>
          <w:lang w:val="en-US" w:eastAsia="zh-CN" w:bidi="ar-SA"/>
        </w:rPr>
      </w:pPr>
    </w:p>
    <w:p w14:paraId="5F04F768">
      <w:pPr>
        <w:rPr>
          <w:rFonts w:hint="eastAsia"/>
        </w:rPr>
      </w:pPr>
    </w:p>
    <w:p w14:paraId="7558E69E">
      <w:pPr>
        <w:rPr>
          <w:rFonts w:hint="eastAsia"/>
        </w:rPr>
      </w:pPr>
    </w:p>
    <w:p w14:paraId="08AD7783">
      <w:pPr>
        <w:rPr>
          <w:rFonts w:hint="eastAsia"/>
        </w:rPr>
      </w:pPr>
    </w:p>
    <w:p w14:paraId="18A9B263">
      <w:pPr>
        <w:keepNext w:val="0"/>
        <w:keepLines w:val="0"/>
        <w:pageBreakBefore w:val="0"/>
        <w:widowControl w:val="0"/>
        <w:kinsoku/>
        <w:wordWrap/>
        <w:overflowPunct/>
        <w:topLinePunct w:val="0"/>
        <w:autoSpaceDE/>
        <w:autoSpaceDN/>
        <w:bidi w:val="0"/>
        <w:adjustRightInd/>
        <w:snapToGrid/>
        <w:spacing w:before="640" w:after="560"/>
        <w:jc w:val="center"/>
        <w:textAlignment w:val="auto"/>
        <w:rPr>
          <w:rFonts w:hint="eastAsia" w:ascii="黑体" w:hAnsi="黑体" w:eastAsia="黑体" w:cs="黑体"/>
          <w:sz w:val="32"/>
          <w:szCs w:val="32"/>
        </w:rPr>
      </w:pPr>
    </w:p>
    <w:p w14:paraId="18072F79">
      <w:pPr>
        <w:keepNext w:val="0"/>
        <w:keepLines w:val="0"/>
        <w:pageBreakBefore w:val="0"/>
        <w:widowControl w:val="0"/>
        <w:kinsoku/>
        <w:wordWrap/>
        <w:overflowPunct/>
        <w:topLinePunct w:val="0"/>
        <w:autoSpaceDE/>
        <w:autoSpaceDN/>
        <w:bidi w:val="0"/>
        <w:adjustRightInd/>
        <w:snapToGrid/>
        <w:spacing w:before="640" w:after="560"/>
        <w:jc w:val="center"/>
        <w:textAlignment w:val="auto"/>
        <w:rPr>
          <w:rFonts w:hint="eastAsia" w:ascii="黑体" w:hAnsi="黑体" w:eastAsia="黑体" w:cs="黑体"/>
          <w:sz w:val="32"/>
          <w:szCs w:val="32"/>
        </w:rPr>
      </w:pPr>
    </w:p>
    <w:p w14:paraId="169F17A9">
      <w:pPr>
        <w:keepNext w:val="0"/>
        <w:keepLines w:val="0"/>
        <w:pageBreakBefore w:val="0"/>
        <w:widowControl w:val="0"/>
        <w:kinsoku/>
        <w:wordWrap/>
        <w:overflowPunct/>
        <w:topLinePunct w:val="0"/>
        <w:autoSpaceDE/>
        <w:autoSpaceDN/>
        <w:bidi w:val="0"/>
        <w:adjustRightInd/>
        <w:snapToGrid/>
        <w:spacing w:before="640" w:after="560"/>
        <w:jc w:val="center"/>
        <w:textAlignment w:val="auto"/>
        <w:rPr>
          <w:rFonts w:hint="eastAsia" w:ascii="黑体" w:hAnsi="黑体" w:eastAsia="黑体" w:cs="黑体"/>
          <w:sz w:val="32"/>
          <w:szCs w:val="32"/>
        </w:rPr>
      </w:pPr>
    </w:p>
    <w:p w14:paraId="5354584C">
      <w:pPr>
        <w:keepNext w:val="0"/>
        <w:keepLines w:val="0"/>
        <w:pageBreakBefore w:val="0"/>
        <w:widowControl w:val="0"/>
        <w:kinsoku/>
        <w:wordWrap/>
        <w:overflowPunct/>
        <w:topLinePunct w:val="0"/>
        <w:autoSpaceDE/>
        <w:autoSpaceDN/>
        <w:bidi w:val="0"/>
        <w:adjustRightInd/>
        <w:snapToGrid/>
        <w:spacing w:before="640" w:after="560"/>
        <w:jc w:val="center"/>
        <w:textAlignment w:val="auto"/>
        <w:rPr>
          <w:rFonts w:hint="eastAsia" w:ascii="黑体" w:hAnsi="黑体" w:eastAsia="黑体" w:cs="黑体"/>
          <w:sz w:val="32"/>
          <w:szCs w:val="32"/>
        </w:rPr>
      </w:pPr>
    </w:p>
    <w:p w14:paraId="7BA11531">
      <w:pPr>
        <w:keepNext w:val="0"/>
        <w:keepLines w:val="0"/>
        <w:pageBreakBefore w:val="0"/>
        <w:widowControl w:val="0"/>
        <w:kinsoku/>
        <w:wordWrap/>
        <w:overflowPunct/>
        <w:topLinePunct w:val="0"/>
        <w:autoSpaceDE/>
        <w:autoSpaceDN/>
        <w:bidi w:val="0"/>
        <w:adjustRightInd/>
        <w:snapToGrid/>
        <w:spacing w:before="640" w:after="560"/>
        <w:jc w:val="center"/>
        <w:textAlignment w:val="auto"/>
        <w:rPr>
          <w:rFonts w:hint="eastAsia" w:ascii="黑体" w:hAnsi="黑体" w:eastAsia="黑体" w:cs="黑体"/>
          <w:sz w:val="32"/>
          <w:szCs w:val="32"/>
        </w:rPr>
      </w:pPr>
    </w:p>
    <w:p w14:paraId="28C8FF38">
      <w:pPr>
        <w:keepNext w:val="0"/>
        <w:keepLines w:val="0"/>
        <w:pageBreakBefore/>
        <w:widowControl w:val="0"/>
        <w:kinsoku/>
        <w:wordWrap/>
        <w:overflowPunct/>
        <w:topLinePunct w:val="0"/>
        <w:autoSpaceDE/>
        <w:autoSpaceDN/>
        <w:bidi w:val="0"/>
        <w:adjustRightInd/>
        <w:snapToGrid w:val="0"/>
        <w:spacing w:before="850" w:beforeAutospacing="0" w:after="68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前     言</w:t>
      </w:r>
    </w:p>
    <w:p w14:paraId="57B5B477">
      <w:pPr>
        <w:keepNext w:val="0"/>
        <w:keepLines w:val="0"/>
        <w:pageBreakBefore w:val="0"/>
        <w:widowControl w:val="0"/>
        <w:kinsoku/>
        <w:wordWrap/>
        <w:overflowPunct/>
        <w:topLinePunct w:val="0"/>
        <w:autoSpaceDE/>
        <w:autoSpaceDN/>
        <w:bidi w:val="0"/>
        <w:adjustRightInd/>
        <w:snapToGrid/>
        <w:spacing w:beforeAutospacing="0" w:line="240" w:lineRule="auto"/>
        <w:ind w:firstLine="420" w:firstLineChars="200"/>
        <w:textAlignment w:val="auto"/>
        <w:rPr>
          <w:rFonts w:hint="eastAsia" w:ascii="宋体" w:hAnsi="宋体" w:eastAsia="宋体" w:cs="宋体"/>
          <w:snapToGrid w:val="0"/>
          <w:color w:val="000000"/>
          <w:spacing w:val="1"/>
          <w:kern w:val="0"/>
          <w:sz w:val="21"/>
          <w:szCs w:val="21"/>
          <w:lang w:val="en-US" w:eastAsia="en-US" w:bidi="ar-SA"/>
        </w:rPr>
      </w:pPr>
      <w:r>
        <w:rPr>
          <w:rFonts w:hint="eastAsia" w:ascii="宋体" w:hAnsi="宋体" w:eastAsia="宋体" w:cs="宋体"/>
          <w:lang w:val="en-US" w:eastAsia="zh-CN"/>
        </w:rPr>
        <w:t>本文件按照GB/T 1.1—2020《标准化工作导则第1部分：标准化文件的结构和起草规则》的规定</w:t>
      </w:r>
      <w:r>
        <w:rPr>
          <w:rFonts w:hint="eastAsia" w:ascii="宋体" w:hAnsi="宋体" w:eastAsia="宋体" w:cs="宋体"/>
          <w:snapToGrid w:val="0"/>
          <w:color w:val="000000"/>
          <w:spacing w:val="1"/>
          <w:kern w:val="0"/>
          <w:sz w:val="21"/>
          <w:szCs w:val="21"/>
          <w:lang w:val="en-US" w:eastAsia="zh-CN" w:bidi="ar-SA"/>
        </w:rPr>
        <w:t>起草。</w:t>
      </w:r>
    </w:p>
    <w:p w14:paraId="4F6267B1">
      <w:pPr>
        <w:keepNext w:val="0"/>
        <w:keepLines w:val="0"/>
        <w:pageBreakBefore w:val="0"/>
        <w:widowControl/>
        <w:suppressLineNumbers w:val="0"/>
        <w:kinsoku/>
        <w:wordWrap/>
        <w:overflowPunct/>
        <w:topLinePunct w:val="0"/>
        <w:autoSpaceDE/>
        <w:autoSpaceDN/>
        <w:bidi w:val="0"/>
        <w:adjustRightInd/>
        <w:snapToGrid/>
        <w:spacing w:line="240" w:lineRule="auto"/>
        <w:ind w:firstLine="424" w:firstLineChars="200"/>
        <w:jc w:val="left"/>
        <w:textAlignment w:val="auto"/>
        <w:rPr>
          <w:rFonts w:hint="eastAsia" w:ascii="宋体" w:hAnsi="宋体" w:eastAsia="宋体" w:cs="宋体"/>
          <w:snapToGrid w:val="0"/>
          <w:color w:val="000000"/>
          <w:spacing w:val="1"/>
          <w:kern w:val="0"/>
          <w:sz w:val="21"/>
          <w:szCs w:val="21"/>
          <w:lang w:val="en-US" w:eastAsia="en-US" w:bidi="ar-SA"/>
        </w:rPr>
      </w:pPr>
      <w:r>
        <w:rPr>
          <w:rFonts w:hint="eastAsia" w:ascii="宋体" w:hAnsi="宋体" w:eastAsia="宋体" w:cs="宋体"/>
          <w:snapToGrid w:val="0"/>
          <w:color w:val="000000"/>
          <w:spacing w:val="1"/>
          <w:kern w:val="0"/>
          <w:sz w:val="21"/>
          <w:szCs w:val="21"/>
          <w:lang w:val="en-US" w:eastAsia="zh-CN" w:bidi="ar-SA"/>
        </w:rPr>
        <w:t xml:space="preserve">请注意本文件的某些内容可能涉及专利。本文件的发布机构不承担识别专利的责任。 </w:t>
      </w:r>
    </w:p>
    <w:p w14:paraId="5E2F97F4">
      <w:pPr>
        <w:keepNext w:val="0"/>
        <w:keepLines w:val="0"/>
        <w:pageBreakBefore w:val="0"/>
        <w:widowControl/>
        <w:suppressLineNumbers w:val="0"/>
        <w:kinsoku/>
        <w:wordWrap/>
        <w:overflowPunct/>
        <w:topLinePunct w:val="0"/>
        <w:autoSpaceDE/>
        <w:autoSpaceDN/>
        <w:bidi w:val="0"/>
        <w:adjustRightInd/>
        <w:snapToGrid/>
        <w:spacing w:line="240" w:lineRule="auto"/>
        <w:ind w:firstLine="424" w:firstLineChars="200"/>
        <w:jc w:val="left"/>
        <w:textAlignment w:val="auto"/>
        <w:rPr>
          <w:rFonts w:hint="eastAsia" w:ascii="宋体" w:hAnsi="宋体" w:eastAsia="宋体" w:cs="宋体"/>
          <w:snapToGrid w:val="0"/>
          <w:color w:val="000000"/>
          <w:spacing w:val="1"/>
          <w:kern w:val="0"/>
          <w:sz w:val="21"/>
          <w:szCs w:val="21"/>
          <w:lang w:val="en-US" w:eastAsia="en-US" w:bidi="ar-SA"/>
        </w:rPr>
      </w:pPr>
      <w:r>
        <w:rPr>
          <w:rFonts w:hint="eastAsia" w:ascii="宋体" w:hAnsi="宋体" w:eastAsia="宋体" w:cs="宋体"/>
          <w:snapToGrid w:val="0"/>
          <w:color w:val="000000"/>
          <w:spacing w:val="1"/>
          <w:kern w:val="0"/>
          <w:sz w:val="21"/>
          <w:szCs w:val="21"/>
          <w:lang w:val="en-US" w:eastAsia="zh-CN" w:bidi="ar-SA"/>
        </w:rPr>
        <w:t>本文件由陕西省生态环境厅提出并归口。</w:t>
      </w:r>
    </w:p>
    <w:p w14:paraId="427697E4">
      <w:pPr>
        <w:keepNext w:val="0"/>
        <w:keepLines w:val="0"/>
        <w:pageBreakBefore w:val="0"/>
        <w:widowControl/>
        <w:suppressLineNumbers w:val="0"/>
        <w:kinsoku/>
        <w:wordWrap/>
        <w:overflowPunct/>
        <w:topLinePunct w:val="0"/>
        <w:autoSpaceDE/>
        <w:autoSpaceDN/>
        <w:bidi w:val="0"/>
        <w:adjustRightInd/>
        <w:snapToGrid/>
        <w:spacing w:line="240" w:lineRule="auto"/>
        <w:ind w:firstLine="424" w:firstLineChars="200"/>
        <w:jc w:val="left"/>
        <w:textAlignment w:val="auto"/>
        <w:rPr>
          <w:rFonts w:hint="eastAsia" w:ascii="宋体" w:hAnsi="宋体" w:eastAsia="宋体" w:cs="宋体"/>
          <w:snapToGrid w:val="0"/>
          <w:color w:val="000000"/>
          <w:spacing w:val="1"/>
          <w:kern w:val="0"/>
          <w:sz w:val="21"/>
          <w:szCs w:val="21"/>
          <w:lang w:val="en-US" w:eastAsia="zh-CN" w:bidi="ar-SA"/>
        </w:rPr>
      </w:pPr>
      <w:r>
        <w:rPr>
          <w:rFonts w:hint="eastAsia" w:ascii="宋体" w:hAnsi="宋体" w:eastAsia="宋体" w:cs="宋体"/>
          <w:snapToGrid w:val="0"/>
          <w:color w:val="000000"/>
          <w:spacing w:val="1"/>
          <w:kern w:val="0"/>
          <w:sz w:val="21"/>
          <w:szCs w:val="21"/>
          <w:lang w:val="en-US" w:eastAsia="zh-CN" w:bidi="ar-SA"/>
        </w:rPr>
        <w:t>本文件起草单位：陕西省环境监测中心站、榆林市环境监测总站、西安市环境保护科学研究院。</w:t>
      </w:r>
    </w:p>
    <w:p w14:paraId="3AC2C09E">
      <w:pPr>
        <w:keepNext w:val="0"/>
        <w:keepLines w:val="0"/>
        <w:pageBreakBefore w:val="0"/>
        <w:widowControl/>
        <w:suppressLineNumbers w:val="0"/>
        <w:kinsoku/>
        <w:wordWrap/>
        <w:overflowPunct/>
        <w:topLinePunct w:val="0"/>
        <w:autoSpaceDE/>
        <w:autoSpaceDN/>
        <w:bidi w:val="0"/>
        <w:adjustRightInd/>
        <w:snapToGrid/>
        <w:spacing w:line="240" w:lineRule="auto"/>
        <w:ind w:firstLine="424" w:firstLineChars="200"/>
        <w:jc w:val="left"/>
        <w:textAlignment w:val="auto"/>
        <w:rPr>
          <w:rFonts w:hint="default" w:ascii="宋体" w:hAnsi="宋体" w:eastAsia="宋体" w:cs="宋体"/>
          <w:snapToGrid w:val="0"/>
          <w:color w:val="000000"/>
          <w:spacing w:val="1"/>
          <w:kern w:val="0"/>
          <w:sz w:val="21"/>
          <w:szCs w:val="21"/>
          <w:lang w:val="en-US" w:eastAsia="zh-CN" w:bidi="ar-SA"/>
        </w:rPr>
      </w:pPr>
      <w:r>
        <w:rPr>
          <w:rFonts w:hint="eastAsia" w:ascii="宋体" w:hAnsi="宋体" w:eastAsia="宋体" w:cs="宋体"/>
          <w:snapToGrid w:val="0"/>
          <w:color w:val="000000"/>
          <w:spacing w:val="1"/>
          <w:kern w:val="0"/>
          <w:sz w:val="21"/>
          <w:szCs w:val="21"/>
          <w:lang w:val="en-US" w:eastAsia="zh-CN" w:bidi="ar-SA"/>
        </w:rPr>
        <w:t>本文件主要起草人：权旭东 张淳 王彬蔚 赵明 高艳芬 常峰 杨旭东 王韶 胡岩 秦立栋 葛毅 康巍 董丽娜 冯燕 吴阳</w:t>
      </w:r>
    </w:p>
    <w:p w14:paraId="2255AB0D">
      <w:pPr>
        <w:keepNext w:val="0"/>
        <w:keepLines w:val="0"/>
        <w:pageBreakBefore w:val="0"/>
        <w:widowControl/>
        <w:suppressLineNumbers w:val="0"/>
        <w:kinsoku/>
        <w:wordWrap/>
        <w:overflowPunct/>
        <w:topLinePunct w:val="0"/>
        <w:autoSpaceDE/>
        <w:autoSpaceDN/>
        <w:bidi w:val="0"/>
        <w:adjustRightInd/>
        <w:snapToGrid/>
        <w:spacing w:line="240" w:lineRule="auto"/>
        <w:ind w:firstLine="424" w:firstLineChars="200"/>
        <w:jc w:val="left"/>
        <w:textAlignment w:val="auto"/>
        <w:rPr>
          <w:rFonts w:hint="eastAsia" w:ascii="宋体" w:hAnsi="宋体" w:eastAsia="宋体" w:cs="宋体"/>
          <w:snapToGrid w:val="0"/>
          <w:color w:val="000000"/>
          <w:spacing w:val="1"/>
          <w:kern w:val="0"/>
          <w:sz w:val="21"/>
          <w:szCs w:val="21"/>
          <w:lang w:val="en-US" w:eastAsia="zh-CN" w:bidi="ar-SA"/>
        </w:rPr>
      </w:pPr>
      <w:r>
        <w:rPr>
          <w:rFonts w:hint="eastAsia" w:ascii="宋体" w:hAnsi="宋体" w:eastAsia="宋体" w:cs="宋体"/>
          <w:snapToGrid w:val="0"/>
          <w:color w:val="000000"/>
          <w:spacing w:val="1"/>
          <w:kern w:val="0"/>
          <w:sz w:val="21"/>
          <w:szCs w:val="21"/>
          <w:lang w:val="en-US" w:eastAsia="zh-CN" w:bidi="ar-SA"/>
        </w:rPr>
        <w:t>本文件为首次发布。</w:t>
      </w:r>
    </w:p>
    <w:p w14:paraId="3337A1A7">
      <w:pPr>
        <w:keepNext w:val="0"/>
        <w:keepLines w:val="0"/>
        <w:pageBreakBefore w:val="0"/>
        <w:widowControl/>
        <w:suppressLineNumbers w:val="0"/>
        <w:kinsoku/>
        <w:wordWrap/>
        <w:overflowPunct/>
        <w:topLinePunct w:val="0"/>
        <w:autoSpaceDE/>
        <w:autoSpaceDN/>
        <w:bidi w:val="0"/>
        <w:adjustRightInd/>
        <w:snapToGrid/>
        <w:spacing w:line="240" w:lineRule="auto"/>
        <w:ind w:firstLine="424" w:firstLineChars="200"/>
        <w:jc w:val="left"/>
        <w:textAlignment w:val="auto"/>
        <w:rPr>
          <w:rFonts w:hint="eastAsia" w:ascii="宋体" w:hAnsi="宋体" w:eastAsia="宋体" w:cs="宋体"/>
          <w:snapToGrid w:val="0"/>
          <w:color w:val="000000"/>
          <w:spacing w:val="1"/>
          <w:kern w:val="0"/>
          <w:sz w:val="21"/>
          <w:szCs w:val="21"/>
          <w:lang w:val="en-US" w:eastAsia="zh-CN" w:bidi="ar-SA"/>
        </w:rPr>
      </w:pPr>
      <w:r>
        <w:rPr>
          <w:rFonts w:hint="eastAsia" w:ascii="宋体" w:hAnsi="宋体" w:eastAsia="宋体" w:cs="宋体"/>
          <w:snapToGrid w:val="0"/>
          <w:color w:val="000000"/>
          <w:spacing w:val="1"/>
          <w:kern w:val="0"/>
          <w:sz w:val="21"/>
          <w:szCs w:val="21"/>
          <w:lang w:val="en-US" w:eastAsia="zh-CN" w:bidi="ar-SA"/>
        </w:rPr>
        <w:t>本文件由陕西省生态环境厅负责解释。</w:t>
      </w:r>
    </w:p>
    <w:p w14:paraId="32F9B267">
      <w:pPr>
        <w:keepNext w:val="0"/>
        <w:keepLines w:val="0"/>
        <w:pageBreakBefore w:val="0"/>
        <w:widowControl/>
        <w:suppressLineNumbers w:val="0"/>
        <w:kinsoku/>
        <w:wordWrap/>
        <w:overflowPunct/>
        <w:topLinePunct w:val="0"/>
        <w:autoSpaceDE/>
        <w:autoSpaceDN/>
        <w:bidi w:val="0"/>
        <w:adjustRightInd/>
        <w:snapToGrid/>
        <w:spacing w:line="240" w:lineRule="auto"/>
        <w:ind w:firstLine="424" w:firstLineChars="200"/>
        <w:jc w:val="left"/>
        <w:textAlignment w:val="auto"/>
        <w:rPr>
          <w:rFonts w:hint="eastAsia" w:ascii="宋体" w:hAnsi="宋体" w:eastAsia="宋体" w:cs="宋体"/>
          <w:snapToGrid w:val="0"/>
          <w:color w:val="000000"/>
          <w:spacing w:val="1"/>
          <w:kern w:val="0"/>
          <w:sz w:val="21"/>
          <w:szCs w:val="21"/>
          <w:lang w:val="en-US" w:eastAsia="zh-CN" w:bidi="ar-SA"/>
        </w:rPr>
      </w:pPr>
      <w:r>
        <w:rPr>
          <w:rFonts w:hint="eastAsia" w:ascii="宋体" w:hAnsi="宋体" w:eastAsia="宋体" w:cs="宋体"/>
          <w:snapToGrid w:val="0"/>
          <w:color w:val="000000"/>
          <w:spacing w:val="1"/>
          <w:kern w:val="0"/>
          <w:sz w:val="21"/>
          <w:szCs w:val="21"/>
          <w:lang w:val="en-US" w:eastAsia="zh-CN" w:bidi="ar-SA"/>
        </w:rPr>
        <w:t>联系信息如下：</w:t>
      </w:r>
    </w:p>
    <w:p w14:paraId="03F1C3CD">
      <w:pPr>
        <w:keepNext w:val="0"/>
        <w:keepLines w:val="0"/>
        <w:pageBreakBefore w:val="0"/>
        <w:widowControl/>
        <w:suppressLineNumbers w:val="0"/>
        <w:kinsoku/>
        <w:wordWrap/>
        <w:overflowPunct/>
        <w:topLinePunct w:val="0"/>
        <w:autoSpaceDE/>
        <w:autoSpaceDN/>
        <w:bidi w:val="0"/>
        <w:adjustRightInd/>
        <w:snapToGrid/>
        <w:spacing w:line="240" w:lineRule="auto"/>
        <w:ind w:firstLine="424" w:firstLineChars="200"/>
        <w:jc w:val="left"/>
        <w:textAlignment w:val="auto"/>
        <w:rPr>
          <w:rFonts w:hint="eastAsia" w:ascii="宋体" w:hAnsi="宋体" w:eastAsia="宋体" w:cs="宋体"/>
          <w:snapToGrid w:val="0"/>
          <w:color w:val="000000"/>
          <w:spacing w:val="1"/>
          <w:kern w:val="0"/>
          <w:sz w:val="21"/>
          <w:szCs w:val="21"/>
          <w:lang w:val="en-US" w:eastAsia="zh-CN" w:bidi="ar-SA"/>
        </w:rPr>
      </w:pPr>
      <w:r>
        <w:rPr>
          <w:rFonts w:hint="eastAsia" w:ascii="宋体" w:hAnsi="宋体" w:eastAsia="宋体" w:cs="宋体"/>
          <w:snapToGrid w:val="0"/>
          <w:color w:val="000000"/>
          <w:spacing w:val="1"/>
          <w:kern w:val="0"/>
          <w:sz w:val="21"/>
          <w:szCs w:val="21"/>
          <w:lang w:val="en-US" w:eastAsia="zh-CN" w:bidi="ar-SA"/>
        </w:rPr>
        <w:t>单位：</w:t>
      </w:r>
      <w:r>
        <w:rPr>
          <w:rFonts w:hint="eastAsia" w:ascii="宋体" w:hAnsi="宋体" w:eastAsia="宋体" w:cs="宋体"/>
          <w:snapToGrid w:val="0"/>
          <w:color w:val="000000"/>
          <w:spacing w:val="1"/>
          <w:kern w:val="0"/>
          <w:sz w:val="21"/>
          <w:szCs w:val="21"/>
          <w:lang w:val="en-US" w:eastAsia="zh" w:bidi="ar-SA"/>
        </w:rPr>
        <w:t>陕西省环境监测中心站</w:t>
      </w:r>
      <w:r>
        <w:rPr>
          <w:rFonts w:hint="eastAsia" w:ascii="宋体" w:hAnsi="宋体" w:eastAsia="宋体" w:cs="宋体"/>
          <w:snapToGrid w:val="0"/>
          <w:color w:val="000000"/>
          <w:spacing w:val="1"/>
          <w:kern w:val="0"/>
          <w:sz w:val="21"/>
          <w:szCs w:val="21"/>
          <w:lang w:val="en-US" w:eastAsia="zh-CN" w:bidi="ar-SA"/>
        </w:rPr>
        <w:t xml:space="preserve"> </w:t>
      </w:r>
    </w:p>
    <w:p w14:paraId="3324C96F">
      <w:pPr>
        <w:keepNext w:val="0"/>
        <w:keepLines w:val="0"/>
        <w:pageBreakBefore w:val="0"/>
        <w:widowControl/>
        <w:suppressLineNumbers w:val="0"/>
        <w:kinsoku/>
        <w:wordWrap/>
        <w:overflowPunct/>
        <w:topLinePunct w:val="0"/>
        <w:autoSpaceDE/>
        <w:autoSpaceDN/>
        <w:bidi w:val="0"/>
        <w:adjustRightInd/>
        <w:snapToGrid/>
        <w:spacing w:line="240" w:lineRule="auto"/>
        <w:ind w:firstLine="424" w:firstLineChars="200"/>
        <w:jc w:val="left"/>
        <w:textAlignment w:val="auto"/>
        <w:rPr>
          <w:rFonts w:hint="eastAsia" w:ascii="宋体" w:hAnsi="宋体" w:eastAsia="宋体" w:cs="宋体"/>
          <w:snapToGrid w:val="0"/>
          <w:color w:val="000000"/>
          <w:spacing w:val="1"/>
          <w:kern w:val="0"/>
          <w:sz w:val="21"/>
          <w:szCs w:val="21"/>
          <w:lang w:val="en-US" w:eastAsia="zh-CN" w:bidi="ar-SA"/>
        </w:rPr>
      </w:pPr>
      <w:r>
        <w:rPr>
          <w:rFonts w:hint="eastAsia" w:ascii="宋体" w:hAnsi="宋体" w:eastAsia="宋体" w:cs="宋体"/>
          <w:snapToGrid w:val="0"/>
          <w:color w:val="000000"/>
          <w:spacing w:val="1"/>
          <w:kern w:val="0"/>
          <w:sz w:val="21"/>
          <w:szCs w:val="21"/>
          <w:lang w:val="en-US" w:eastAsia="zh-CN" w:bidi="ar-SA"/>
        </w:rPr>
        <w:t>电话：029-85429129</w:t>
      </w:r>
    </w:p>
    <w:p w14:paraId="715C5B38">
      <w:pPr>
        <w:keepNext w:val="0"/>
        <w:keepLines w:val="0"/>
        <w:pageBreakBefore w:val="0"/>
        <w:widowControl/>
        <w:suppressLineNumbers w:val="0"/>
        <w:kinsoku/>
        <w:wordWrap/>
        <w:overflowPunct/>
        <w:topLinePunct w:val="0"/>
        <w:autoSpaceDE/>
        <w:autoSpaceDN/>
        <w:bidi w:val="0"/>
        <w:adjustRightInd/>
        <w:snapToGrid/>
        <w:spacing w:line="240" w:lineRule="auto"/>
        <w:ind w:firstLine="424" w:firstLineChars="200"/>
        <w:jc w:val="left"/>
        <w:textAlignment w:val="auto"/>
        <w:rPr>
          <w:rFonts w:hint="eastAsia" w:ascii="宋体" w:hAnsi="宋体" w:eastAsia="宋体" w:cs="宋体"/>
          <w:snapToGrid w:val="0"/>
          <w:color w:val="000000"/>
          <w:spacing w:val="1"/>
          <w:kern w:val="0"/>
          <w:sz w:val="21"/>
          <w:szCs w:val="21"/>
          <w:lang w:val="en-US" w:eastAsia="zh-CN" w:bidi="ar-SA"/>
        </w:rPr>
      </w:pPr>
      <w:r>
        <w:rPr>
          <w:rFonts w:hint="eastAsia" w:ascii="宋体" w:hAnsi="宋体" w:eastAsia="宋体" w:cs="宋体"/>
          <w:snapToGrid w:val="0"/>
          <w:color w:val="000000"/>
          <w:spacing w:val="1"/>
          <w:kern w:val="0"/>
          <w:sz w:val="21"/>
          <w:szCs w:val="21"/>
          <w:lang w:val="en-US" w:eastAsia="zh-CN" w:bidi="ar-SA"/>
        </w:rPr>
        <w:t>地址：陕西省</w:t>
      </w:r>
      <w:r>
        <w:rPr>
          <w:rFonts w:hint="eastAsia" w:ascii="宋体" w:hAnsi="宋体" w:eastAsia="宋体" w:cs="宋体"/>
          <w:snapToGrid w:val="0"/>
          <w:color w:val="000000"/>
          <w:spacing w:val="1"/>
          <w:kern w:val="0"/>
          <w:sz w:val="21"/>
          <w:szCs w:val="21"/>
          <w:lang w:val="en-US" w:eastAsia="zh" w:bidi="ar-SA"/>
        </w:rPr>
        <w:t>西安市西影路112号</w:t>
      </w:r>
      <w:r>
        <w:rPr>
          <w:rFonts w:hint="default" w:ascii="宋体" w:hAnsi="宋体" w:eastAsia="宋体" w:cs="宋体"/>
          <w:snapToGrid w:val="0"/>
          <w:color w:val="000000"/>
          <w:spacing w:val="1"/>
          <w:kern w:val="0"/>
          <w:sz w:val="21"/>
          <w:szCs w:val="21"/>
          <w:lang w:val="en-US" w:eastAsia="zh" w:bidi="ar-SA"/>
        </w:rPr>
        <w:t>陕西环保综合办公大楼</w:t>
      </w:r>
    </w:p>
    <w:p w14:paraId="21FD96AE">
      <w:pPr>
        <w:keepNext w:val="0"/>
        <w:keepLines w:val="0"/>
        <w:pageBreakBefore w:val="0"/>
        <w:widowControl/>
        <w:suppressLineNumbers w:val="0"/>
        <w:kinsoku/>
        <w:wordWrap/>
        <w:overflowPunct/>
        <w:topLinePunct w:val="0"/>
        <w:autoSpaceDE/>
        <w:autoSpaceDN/>
        <w:bidi w:val="0"/>
        <w:adjustRightInd/>
        <w:snapToGrid/>
        <w:spacing w:line="240" w:lineRule="auto"/>
        <w:ind w:firstLine="424" w:firstLineChars="200"/>
        <w:jc w:val="left"/>
        <w:textAlignment w:val="auto"/>
        <w:rPr>
          <w:rFonts w:hint="eastAsia" w:ascii="宋体" w:hAnsi="宋体" w:eastAsia="宋体" w:cs="宋体"/>
          <w:snapToGrid w:val="0"/>
          <w:color w:val="000000"/>
          <w:spacing w:val="1"/>
          <w:kern w:val="0"/>
          <w:sz w:val="21"/>
          <w:szCs w:val="21"/>
          <w:lang w:val="en-US" w:eastAsia="zh-CN" w:bidi="ar-SA"/>
        </w:rPr>
      </w:pPr>
      <w:r>
        <w:rPr>
          <w:rFonts w:hint="eastAsia" w:ascii="宋体" w:hAnsi="宋体" w:eastAsia="宋体" w:cs="宋体"/>
          <w:snapToGrid w:val="0"/>
          <w:color w:val="000000"/>
          <w:spacing w:val="1"/>
          <w:kern w:val="0"/>
          <w:sz w:val="21"/>
          <w:szCs w:val="21"/>
          <w:lang w:val="en-US" w:eastAsia="zh-CN" w:bidi="ar-SA"/>
        </w:rPr>
        <w:t>邮编：710061</w:t>
      </w:r>
    </w:p>
    <w:p w14:paraId="7ECFE049">
      <w:pPr>
        <w:keepNext w:val="0"/>
        <w:keepLines w:val="0"/>
        <w:widowControl/>
        <w:suppressLineNumbers w:val="0"/>
        <w:ind w:firstLine="400" w:firstLineChars="200"/>
        <w:jc w:val="left"/>
        <w:rPr>
          <w:rFonts w:hint="eastAsia" w:ascii="Times New Roman" w:hAnsi="Times New Roman" w:eastAsia="宋体" w:cs="Times New Roman"/>
          <w:color w:val="000000"/>
          <w:kern w:val="0"/>
          <w:sz w:val="20"/>
          <w:szCs w:val="20"/>
          <w:lang w:val="en-US" w:eastAsia="zh-CN" w:bidi="ar"/>
        </w:rPr>
      </w:pPr>
    </w:p>
    <w:p w14:paraId="7403E358">
      <w:pPr>
        <w:pStyle w:val="13"/>
        <w:rPr>
          <w:rFonts w:hint="eastAsia"/>
          <w:highlight w:val="yellow"/>
        </w:rPr>
        <w:sectPr>
          <w:headerReference r:id="rId4" w:type="default"/>
          <w:footerReference r:id="rId5" w:type="default"/>
          <w:footerReference r:id="rId6" w:type="even"/>
          <w:pgSz w:w="11906" w:h="16838"/>
          <w:pgMar w:top="1417" w:right="1417" w:bottom="1134" w:left="1417" w:header="1418" w:footer="1134" w:gutter="0"/>
          <w:pgBorders>
            <w:top w:val="none" w:sz="0" w:space="0"/>
            <w:left w:val="none" w:sz="0" w:space="0"/>
            <w:bottom w:val="none" w:sz="0" w:space="0"/>
            <w:right w:val="none" w:sz="0" w:space="0"/>
          </w:pgBorders>
          <w:pgNumType w:fmt="upperRoman" w:start="1"/>
          <w:cols w:space="720" w:num="1"/>
          <w:formProt w:val="0"/>
          <w:docGrid w:type="lines" w:linePitch="312" w:charSpace="0"/>
        </w:sectPr>
      </w:pPr>
    </w:p>
    <w:p w14:paraId="452ECE51">
      <w:pPr>
        <w:keepNext w:val="0"/>
        <w:keepLines w:val="0"/>
        <w:pageBreakBefore w:val="0"/>
        <w:widowControl w:val="0"/>
        <w:kinsoku/>
        <w:wordWrap/>
        <w:overflowPunct/>
        <w:topLinePunct w:val="0"/>
        <w:autoSpaceDE/>
        <w:autoSpaceDN/>
        <w:bidi w:val="0"/>
        <w:adjustRightInd/>
        <w:snapToGrid/>
        <w:spacing w:before="850" w:after="680" w:line="460" w:lineRule="exact"/>
        <w:jc w:val="center"/>
        <w:textAlignment w:val="auto"/>
        <w:outlineLvl w:val="0"/>
        <w:rPr>
          <w:rFonts w:hint="eastAsia" w:ascii="黑体" w:hAnsi="黑体" w:eastAsia="黑体" w:cs="黑体"/>
          <w:snapToGrid w:val="0"/>
          <w:color w:val="000000"/>
          <w:spacing w:val="8"/>
          <w:kern w:val="0"/>
          <w:sz w:val="32"/>
          <w:szCs w:val="32"/>
          <w:lang w:val="en-US" w:eastAsia="en-US" w:bidi="ar-SA"/>
        </w:rPr>
      </w:pPr>
      <w:bookmarkStart w:id="0" w:name="_Toc5520"/>
    </w:p>
    <w:p w14:paraId="04B5FAB1">
      <w:pPr>
        <w:keepNext w:val="0"/>
        <w:keepLines w:val="0"/>
        <w:pageBreakBefore w:val="0"/>
        <w:widowControl w:val="0"/>
        <w:kinsoku/>
        <w:wordWrap/>
        <w:overflowPunct/>
        <w:topLinePunct w:val="0"/>
        <w:autoSpaceDE/>
        <w:autoSpaceDN/>
        <w:bidi w:val="0"/>
        <w:adjustRightInd/>
        <w:snapToGrid/>
        <w:spacing w:before="850" w:after="680" w:line="460" w:lineRule="exact"/>
        <w:jc w:val="center"/>
        <w:textAlignment w:val="auto"/>
        <w:outlineLvl w:val="0"/>
        <w:rPr>
          <w:rFonts w:hint="eastAsia" w:ascii="黑体" w:hAnsi="黑体" w:eastAsia="黑体" w:cs="黑体"/>
          <w:snapToGrid w:val="0"/>
          <w:color w:val="000000"/>
          <w:spacing w:val="8"/>
          <w:kern w:val="0"/>
          <w:sz w:val="32"/>
          <w:szCs w:val="32"/>
          <w:lang w:val="en-US" w:eastAsia="en-US" w:bidi="ar-SA"/>
        </w:rPr>
      </w:pPr>
    </w:p>
    <w:p w14:paraId="781C3367">
      <w:pPr>
        <w:keepNext w:val="0"/>
        <w:keepLines w:val="0"/>
        <w:pageBreakBefore w:val="0"/>
        <w:widowControl w:val="0"/>
        <w:kinsoku/>
        <w:wordWrap/>
        <w:overflowPunct/>
        <w:topLinePunct w:val="0"/>
        <w:autoSpaceDE/>
        <w:autoSpaceDN/>
        <w:bidi w:val="0"/>
        <w:adjustRightInd/>
        <w:snapToGrid/>
        <w:spacing w:before="850" w:after="680" w:line="460" w:lineRule="exact"/>
        <w:jc w:val="center"/>
        <w:textAlignment w:val="auto"/>
        <w:outlineLvl w:val="0"/>
        <w:rPr>
          <w:rFonts w:hint="eastAsia" w:ascii="黑体" w:hAnsi="黑体" w:eastAsia="黑体" w:cs="黑体"/>
          <w:snapToGrid w:val="0"/>
          <w:color w:val="000000"/>
          <w:spacing w:val="8"/>
          <w:kern w:val="0"/>
          <w:sz w:val="32"/>
          <w:szCs w:val="32"/>
          <w:lang w:val="en-US" w:eastAsia="en-US" w:bidi="ar-SA"/>
        </w:rPr>
      </w:pPr>
    </w:p>
    <w:p w14:paraId="0A10CE43">
      <w:pPr>
        <w:keepNext w:val="0"/>
        <w:keepLines w:val="0"/>
        <w:pageBreakBefore w:val="0"/>
        <w:widowControl w:val="0"/>
        <w:kinsoku/>
        <w:wordWrap/>
        <w:overflowPunct/>
        <w:topLinePunct w:val="0"/>
        <w:autoSpaceDE/>
        <w:autoSpaceDN/>
        <w:bidi w:val="0"/>
        <w:adjustRightInd/>
        <w:snapToGrid/>
        <w:spacing w:before="850" w:after="680" w:line="460" w:lineRule="exact"/>
        <w:jc w:val="center"/>
        <w:textAlignment w:val="auto"/>
        <w:outlineLvl w:val="0"/>
        <w:rPr>
          <w:rFonts w:hint="eastAsia" w:ascii="黑体" w:hAnsi="黑体" w:eastAsia="黑体" w:cs="黑体"/>
          <w:snapToGrid w:val="0"/>
          <w:color w:val="000000"/>
          <w:spacing w:val="8"/>
          <w:kern w:val="0"/>
          <w:sz w:val="32"/>
          <w:szCs w:val="32"/>
          <w:lang w:val="en-US" w:eastAsia="en-US" w:bidi="ar-SA"/>
        </w:rPr>
      </w:pPr>
    </w:p>
    <w:p w14:paraId="484B1C69">
      <w:pPr>
        <w:keepNext w:val="0"/>
        <w:keepLines w:val="0"/>
        <w:pageBreakBefore w:val="0"/>
        <w:widowControl w:val="0"/>
        <w:kinsoku/>
        <w:wordWrap/>
        <w:overflowPunct/>
        <w:topLinePunct w:val="0"/>
        <w:autoSpaceDE/>
        <w:autoSpaceDN/>
        <w:bidi w:val="0"/>
        <w:adjustRightInd/>
        <w:snapToGrid/>
        <w:spacing w:before="850" w:after="680" w:line="460" w:lineRule="exact"/>
        <w:jc w:val="center"/>
        <w:textAlignment w:val="auto"/>
        <w:outlineLvl w:val="0"/>
        <w:rPr>
          <w:rFonts w:hint="eastAsia" w:ascii="黑体" w:hAnsi="黑体" w:eastAsia="黑体" w:cs="黑体"/>
          <w:snapToGrid w:val="0"/>
          <w:color w:val="000000"/>
          <w:spacing w:val="8"/>
          <w:kern w:val="0"/>
          <w:sz w:val="32"/>
          <w:szCs w:val="32"/>
          <w:lang w:val="en-US" w:eastAsia="en-US" w:bidi="ar-SA"/>
        </w:rPr>
      </w:pPr>
    </w:p>
    <w:p w14:paraId="0A6FADE4">
      <w:pPr>
        <w:keepNext w:val="0"/>
        <w:keepLines w:val="0"/>
        <w:pageBreakBefore w:val="0"/>
        <w:widowControl w:val="0"/>
        <w:kinsoku/>
        <w:wordWrap/>
        <w:overflowPunct/>
        <w:topLinePunct w:val="0"/>
        <w:autoSpaceDE/>
        <w:autoSpaceDN/>
        <w:bidi w:val="0"/>
        <w:adjustRightInd/>
        <w:snapToGrid/>
        <w:spacing w:before="850" w:after="680" w:line="460" w:lineRule="exact"/>
        <w:jc w:val="center"/>
        <w:textAlignment w:val="auto"/>
        <w:outlineLvl w:val="0"/>
        <w:rPr>
          <w:rFonts w:ascii="黑体" w:hAnsi="黑体" w:eastAsia="黑体"/>
          <w:sz w:val="32"/>
          <w:szCs w:val="32"/>
        </w:rPr>
      </w:pPr>
      <w:r>
        <w:rPr>
          <w:rFonts w:hint="eastAsia" w:ascii="黑体" w:hAnsi="黑体" w:eastAsia="黑体" w:cs="黑体"/>
          <w:snapToGrid w:val="0"/>
          <w:color w:val="000000"/>
          <w:spacing w:val="8"/>
          <w:kern w:val="0"/>
          <w:sz w:val="32"/>
          <w:szCs w:val="32"/>
          <w:lang w:val="en-US" w:eastAsia="en-US" w:bidi="ar-SA"/>
        </w:rPr>
        <w:t>排污单位自行监测</w:t>
      </w:r>
      <w:r>
        <w:rPr>
          <w:rFonts w:hint="eastAsia" w:ascii="黑体" w:hAnsi="黑体" w:eastAsia="黑体" w:cs="黑体"/>
          <w:snapToGrid w:val="0"/>
          <w:color w:val="000000"/>
          <w:spacing w:val="8"/>
          <w:kern w:val="0"/>
          <w:sz w:val="32"/>
          <w:szCs w:val="32"/>
          <w:lang w:val="en-US" w:eastAsia="zh-CN" w:bidi="ar-SA"/>
        </w:rPr>
        <w:t>技术指南</w:t>
      </w:r>
      <w:r>
        <w:rPr>
          <w:rFonts w:hint="eastAsia" w:ascii="黑体" w:hAnsi="黑体" w:eastAsia="黑体" w:cs="黑体"/>
          <w:snapToGrid w:val="0"/>
          <w:color w:val="000000"/>
          <w:spacing w:val="8"/>
          <w:kern w:val="0"/>
          <w:sz w:val="32"/>
          <w:szCs w:val="32"/>
          <w:lang w:val="en-US" w:eastAsia="en-US" w:bidi="ar-SA"/>
        </w:rPr>
        <w:t xml:space="preserve"> </w:t>
      </w:r>
      <w:r>
        <w:rPr>
          <w:rFonts w:hint="eastAsia" w:ascii="黑体" w:hAnsi="黑体" w:eastAsia="黑体" w:cs="黑体"/>
          <w:snapToGrid w:val="0"/>
          <w:color w:val="000000"/>
          <w:spacing w:val="8"/>
          <w:kern w:val="0"/>
          <w:sz w:val="32"/>
          <w:szCs w:val="32"/>
          <w:lang w:val="en-US" w:eastAsia="zh-CN" w:bidi="ar-SA"/>
        </w:rPr>
        <w:t>兰炭</w:t>
      </w:r>
      <w:r>
        <w:rPr>
          <w:rFonts w:hint="eastAsia" w:ascii="黑体" w:hAnsi="黑体" w:eastAsia="黑体" w:cs="黑体"/>
          <w:snapToGrid w:val="0"/>
          <w:color w:val="000000"/>
          <w:spacing w:val="8"/>
          <w:kern w:val="0"/>
          <w:sz w:val="32"/>
          <w:szCs w:val="32"/>
          <w:lang w:val="en-US" w:eastAsia="en-US" w:bidi="ar-SA"/>
        </w:rPr>
        <w:t>工业</w:t>
      </w:r>
      <w:bookmarkEnd w:id="0"/>
    </w:p>
    <w:p w14:paraId="0B8ACC7B">
      <w:pPr>
        <w:pStyle w:val="22"/>
        <w:spacing w:before="319" w:beforeLines="100" w:after="319" w:afterLines="100"/>
        <w:ind w:left="0" w:leftChars="0" w:firstLineChars="0"/>
        <w:outlineLvl w:val="0"/>
        <w:rPr>
          <w:rFonts w:hint="eastAsia" w:ascii="黑体" w:hAnsi="Times New Roman" w:eastAsia="黑体" w:cs="Times New Roman"/>
          <w:sz w:val="21"/>
          <w:szCs w:val="20"/>
        </w:rPr>
      </w:pPr>
      <w:bookmarkStart w:id="1" w:name="_Toc29519"/>
      <w:bookmarkStart w:id="2" w:name="_Toc28284"/>
      <w:r>
        <w:rPr>
          <w:rFonts w:hint="eastAsia" w:ascii="黑体" w:hAnsi="Times New Roman" w:eastAsia="黑体" w:cs="Times New Roman"/>
          <w:snapToGrid/>
          <w:color w:val="000000"/>
          <w:spacing w:val="0"/>
          <w:kern w:val="0"/>
          <w:sz w:val="21"/>
          <w:szCs w:val="20"/>
          <w:lang w:val="en-US" w:eastAsia="en-US" w:bidi="ar-SA"/>
        </w:rPr>
        <w:t>范围</w:t>
      </w:r>
      <w:bookmarkEnd w:id="1"/>
      <w:bookmarkEnd w:id="2"/>
    </w:p>
    <w:p w14:paraId="49D40F68">
      <w:pPr>
        <w:pStyle w:val="13"/>
        <w:widowControl/>
        <w:kinsoku w:val="0"/>
        <w:autoSpaceDE w:val="0"/>
        <w:autoSpaceDN w:val="0"/>
        <w:adjustRightInd w:val="0"/>
        <w:snapToGrid w:val="0"/>
        <w:spacing w:before="65" w:line="422" w:lineRule="auto"/>
        <w:jc w:val="both"/>
        <w:textAlignment w:val="baseline"/>
        <w:rPr>
          <w:rFonts w:hint="default" w:asciiTheme="minorHAnsi" w:hAnsiTheme="minorHAnsi" w:eastAsiaTheme="minorEastAsia" w:cstheme="minorBidi"/>
          <w:snapToGrid/>
          <w:color w:val="000000"/>
          <w:spacing w:val="0"/>
          <w:kern w:val="2"/>
          <w:sz w:val="21"/>
          <w:szCs w:val="24"/>
          <w:lang w:eastAsia="en-US"/>
        </w:rPr>
      </w:pPr>
      <w:r>
        <w:rPr>
          <w:rFonts w:hint="default" w:asciiTheme="minorHAnsi" w:hAnsiTheme="minorHAnsi" w:eastAsiaTheme="minorEastAsia" w:cstheme="minorBidi"/>
          <w:snapToGrid/>
          <w:color w:val="000000"/>
          <w:spacing w:val="0"/>
          <w:kern w:val="2"/>
          <w:sz w:val="21"/>
          <w:szCs w:val="24"/>
          <w:lang w:val="en-US" w:eastAsia="zh-CN"/>
        </w:rPr>
        <w:t>本标准规定了</w:t>
      </w:r>
      <w:r>
        <w:rPr>
          <w:rFonts w:hint="default" w:asciiTheme="minorHAnsi" w:hAnsiTheme="minorHAnsi" w:eastAsiaTheme="minorEastAsia" w:cstheme="minorBidi"/>
          <w:snapToGrid/>
          <w:color w:val="000000"/>
          <w:spacing w:val="0"/>
          <w:kern w:val="2"/>
          <w:sz w:val="21"/>
          <w:szCs w:val="24"/>
          <w:lang w:val="en-US" w:eastAsia="zh"/>
        </w:rPr>
        <w:t>兰炭</w:t>
      </w:r>
      <w:r>
        <w:rPr>
          <w:rFonts w:hint="default" w:asciiTheme="minorHAnsi" w:hAnsiTheme="minorHAnsi" w:eastAsiaTheme="minorEastAsia" w:cstheme="minorBidi"/>
          <w:snapToGrid/>
          <w:color w:val="000000"/>
          <w:spacing w:val="0"/>
          <w:kern w:val="2"/>
          <w:sz w:val="21"/>
          <w:szCs w:val="24"/>
          <w:lang w:val="en-US" w:eastAsia="zh-CN"/>
        </w:rPr>
        <w:t>工业排污单位自行监测的一般要求、监测方案制定、信息记录和报告的基本内容及要求。</w:t>
      </w:r>
    </w:p>
    <w:p w14:paraId="05E42985">
      <w:pPr>
        <w:pStyle w:val="13"/>
        <w:widowControl/>
        <w:kinsoku w:val="0"/>
        <w:autoSpaceDE w:val="0"/>
        <w:autoSpaceDN w:val="0"/>
        <w:adjustRightInd w:val="0"/>
        <w:snapToGrid w:val="0"/>
        <w:spacing w:before="65" w:line="422" w:lineRule="auto"/>
        <w:jc w:val="both"/>
        <w:textAlignment w:val="baseline"/>
        <w:rPr>
          <w:rFonts w:hint="default" w:asciiTheme="minorHAnsi" w:hAnsiTheme="minorHAnsi" w:eastAsiaTheme="minorEastAsia" w:cstheme="minorBidi"/>
          <w:snapToGrid/>
          <w:color w:val="000000"/>
          <w:spacing w:val="0"/>
          <w:kern w:val="2"/>
          <w:sz w:val="21"/>
          <w:szCs w:val="24"/>
          <w:lang w:eastAsia="en-US"/>
        </w:rPr>
      </w:pPr>
      <w:r>
        <w:rPr>
          <w:rFonts w:hint="default" w:asciiTheme="minorHAnsi" w:hAnsiTheme="minorHAnsi" w:eastAsiaTheme="minorEastAsia" w:cstheme="minorBidi"/>
          <w:snapToGrid/>
          <w:color w:val="000000"/>
          <w:spacing w:val="0"/>
          <w:kern w:val="2"/>
          <w:sz w:val="21"/>
          <w:szCs w:val="24"/>
          <w:lang w:eastAsia="en-US"/>
        </w:rPr>
        <w:t>本标准适用于兰炭工业排污单位在生产运行阶段对其排放的水、气污染物、噪声以及对其周边环境质量影响开展自行监测；若排污单位为土壤重点企业，其按照《陕西省土壤污染重点监管单位周边土壤监测技术规范》(DB61/T1697-2023)开展自行监测工作。</w:t>
      </w:r>
    </w:p>
    <w:p w14:paraId="706C3376">
      <w:pPr>
        <w:pStyle w:val="22"/>
        <w:spacing w:before="319" w:beforeLines="100" w:after="319" w:afterLines="100"/>
        <w:ind w:left="0" w:leftChars="0" w:firstLineChars="0"/>
        <w:outlineLvl w:val="0"/>
        <w:rPr>
          <w:rFonts w:hint="eastAsia" w:ascii="黑体" w:hAnsi="Times New Roman" w:eastAsia="黑体" w:cs="Times New Roman"/>
          <w:snapToGrid/>
          <w:color w:val="000000"/>
          <w:spacing w:val="0"/>
          <w:kern w:val="0"/>
          <w:szCs w:val="20"/>
          <w:lang w:val="en-US" w:eastAsia="en-US" w:bidi="ar-SA"/>
        </w:rPr>
      </w:pPr>
      <w:bookmarkStart w:id="3" w:name="_Toc19024"/>
      <w:bookmarkStart w:id="4" w:name="_Toc3040"/>
      <w:r>
        <w:rPr>
          <w:rFonts w:hint="eastAsia" w:ascii="黑体" w:hAnsi="Times New Roman" w:eastAsia="黑体" w:cs="Times New Roman"/>
          <w:snapToGrid/>
          <w:color w:val="000000"/>
          <w:spacing w:val="0"/>
          <w:kern w:val="0"/>
          <w:szCs w:val="20"/>
          <w:lang w:val="en-US" w:eastAsia="en-US" w:bidi="ar-SA"/>
        </w:rPr>
        <w:t>规范性引用文件</w:t>
      </w:r>
      <w:bookmarkEnd w:id="3"/>
      <w:bookmarkEnd w:id="4"/>
    </w:p>
    <w:p w14:paraId="54E9BCD7">
      <w:pPr>
        <w:pStyle w:val="13"/>
        <w:keepNext w:val="0"/>
        <w:keepLines w:val="0"/>
        <w:pageBreakBefore w:val="0"/>
        <w:widowControl w:val="0"/>
        <w:kinsoku/>
        <w:wordWrap/>
        <w:overflowPunct/>
        <w:topLinePunct w:val="0"/>
        <w:autoSpaceDE/>
        <w:autoSpaceDN/>
        <w:bidi w:val="0"/>
        <w:adjustRightInd/>
        <w:snapToGrid/>
        <w:spacing w:line="423" w:lineRule="auto"/>
        <w:ind w:firstLineChars="200"/>
        <w:textAlignment w:val="auto"/>
        <w:rPr>
          <w:rFonts w:hint="default"/>
          <w:lang w:eastAsia="en-US"/>
        </w:rPr>
      </w:pPr>
      <w:r>
        <w:rPr>
          <w:rFonts w:hint="default"/>
          <w:lang w:eastAsia="en-US"/>
        </w:rPr>
        <w:t>下列文件最新版本（包括所有的修改单）适用于本文件。</w:t>
      </w:r>
    </w:p>
    <w:p w14:paraId="2AE1333C">
      <w:pPr>
        <w:pStyle w:val="13"/>
        <w:keepNext w:val="0"/>
        <w:keepLines w:val="0"/>
        <w:pageBreakBefore w:val="0"/>
        <w:widowControl/>
        <w:kinsoku w:val="0"/>
        <w:wordWrap/>
        <w:overflowPunct/>
        <w:topLinePunct w:val="0"/>
        <w:autoSpaceDE w:val="0"/>
        <w:autoSpaceDN w:val="0"/>
        <w:bidi w:val="0"/>
        <w:adjustRightInd w:val="0"/>
        <w:snapToGrid w:val="0"/>
        <w:spacing w:line="360" w:lineRule="auto"/>
        <w:ind w:left="3"/>
        <w:jc w:val="left"/>
        <w:textAlignment w:val="baseline"/>
        <w:rPr>
          <w:rFonts w:hint="default" w:ascii="宋体" w:hAnsi="Times New Roman" w:eastAsia="宋体" w:cs="Times New Roman"/>
          <w:snapToGrid/>
          <w:color w:val="auto"/>
          <w:spacing w:val="0"/>
          <w:kern w:val="0"/>
          <w:sz w:val="21"/>
          <w:szCs w:val="20"/>
          <w:lang w:val="en-US" w:eastAsia="en-US" w:bidi="ar-SA"/>
        </w:rPr>
      </w:pPr>
      <w:r>
        <w:rPr>
          <w:rFonts w:hint="default" w:ascii="宋体" w:hAnsi="Times New Roman" w:eastAsia="宋体" w:cs="Times New Roman"/>
          <w:snapToGrid/>
          <w:color w:val="auto"/>
          <w:spacing w:val="0"/>
          <w:kern w:val="0"/>
          <w:sz w:val="21"/>
          <w:szCs w:val="20"/>
          <w:lang w:val="en-US" w:eastAsia="en-US" w:bidi="ar-SA"/>
        </w:rPr>
        <w:t>HJ/T 91.2 地表水和污水监测技术规范</w:t>
      </w:r>
    </w:p>
    <w:p w14:paraId="64B9879F">
      <w:pPr>
        <w:pStyle w:val="13"/>
        <w:keepNext w:val="0"/>
        <w:keepLines w:val="0"/>
        <w:pageBreakBefore w:val="0"/>
        <w:widowControl/>
        <w:kinsoku w:val="0"/>
        <w:wordWrap/>
        <w:overflowPunct/>
        <w:topLinePunct w:val="0"/>
        <w:autoSpaceDE w:val="0"/>
        <w:autoSpaceDN w:val="0"/>
        <w:bidi w:val="0"/>
        <w:adjustRightInd w:val="0"/>
        <w:snapToGrid w:val="0"/>
        <w:spacing w:line="360" w:lineRule="auto"/>
        <w:ind w:left="3"/>
        <w:jc w:val="left"/>
        <w:textAlignment w:val="baseline"/>
        <w:rPr>
          <w:rFonts w:hint="default" w:ascii="宋体" w:hAnsi="Times New Roman" w:eastAsia="宋体" w:cs="Times New Roman"/>
          <w:snapToGrid/>
          <w:color w:val="auto"/>
          <w:spacing w:val="0"/>
          <w:kern w:val="0"/>
          <w:sz w:val="21"/>
          <w:szCs w:val="20"/>
          <w:lang w:val="en-US" w:eastAsia="en-US" w:bidi="ar-SA"/>
        </w:rPr>
      </w:pPr>
      <w:r>
        <w:rPr>
          <w:rFonts w:hint="default" w:ascii="宋体" w:hAnsi="Times New Roman" w:eastAsia="宋体" w:cs="Times New Roman"/>
          <w:snapToGrid/>
          <w:color w:val="auto"/>
          <w:spacing w:val="0"/>
          <w:kern w:val="0"/>
          <w:sz w:val="21"/>
          <w:szCs w:val="20"/>
          <w:lang w:val="en-US" w:eastAsia="en-US" w:bidi="ar-SA"/>
        </w:rPr>
        <w:t>HJ/T 164 地下水环境监测技术规范</w:t>
      </w:r>
    </w:p>
    <w:p w14:paraId="15FC1E79">
      <w:pPr>
        <w:pStyle w:val="13"/>
        <w:keepNext w:val="0"/>
        <w:keepLines w:val="0"/>
        <w:pageBreakBefore w:val="0"/>
        <w:widowControl/>
        <w:kinsoku w:val="0"/>
        <w:wordWrap/>
        <w:overflowPunct/>
        <w:topLinePunct w:val="0"/>
        <w:autoSpaceDE w:val="0"/>
        <w:autoSpaceDN w:val="0"/>
        <w:bidi w:val="0"/>
        <w:adjustRightInd w:val="0"/>
        <w:snapToGrid w:val="0"/>
        <w:spacing w:line="360" w:lineRule="auto"/>
        <w:ind w:left="3"/>
        <w:jc w:val="left"/>
        <w:textAlignment w:val="baseline"/>
        <w:rPr>
          <w:rFonts w:hint="default" w:ascii="宋体" w:hAnsi="Times New Roman" w:eastAsia="宋体" w:cs="Times New Roman"/>
          <w:snapToGrid/>
          <w:color w:val="auto"/>
          <w:spacing w:val="0"/>
          <w:kern w:val="0"/>
          <w:sz w:val="21"/>
          <w:szCs w:val="20"/>
          <w:lang w:val="en-US" w:eastAsia="en-US" w:bidi="ar-SA"/>
        </w:rPr>
      </w:pPr>
      <w:r>
        <w:rPr>
          <w:rFonts w:hint="default" w:ascii="宋体" w:hAnsi="Times New Roman" w:eastAsia="宋体" w:cs="Times New Roman"/>
          <w:snapToGrid/>
          <w:color w:val="auto"/>
          <w:spacing w:val="0"/>
          <w:kern w:val="0"/>
          <w:sz w:val="21"/>
          <w:szCs w:val="20"/>
          <w:lang w:val="en-US" w:eastAsia="en-US" w:bidi="ar-SA"/>
        </w:rPr>
        <w:t>HJ/T 166 土壤环境监测技术规范</w:t>
      </w:r>
    </w:p>
    <w:p w14:paraId="4BEA3EB2">
      <w:pPr>
        <w:pStyle w:val="13"/>
        <w:keepNext w:val="0"/>
        <w:keepLines w:val="0"/>
        <w:pageBreakBefore w:val="0"/>
        <w:widowControl/>
        <w:kinsoku w:val="0"/>
        <w:wordWrap/>
        <w:overflowPunct/>
        <w:topLinePunct w:val="0"/>
        <w:autoSpaceDE w:val="0"/>
        <w:autoSpaceDN w:val="0"/>
        <w:bidi w:val="0"/>
        <w:adjustRightInd w:val="0"/>
        <w:snapToGrid w:val="0"/>
        <w:spacing w:line="360" w:lineRule="auto"/>
        <w:ind w:left="3"/>
        <w:jc w:val="left"/>
        <w:textAlignment w:val="baseline"/>
        <w:rPr>
          <w:rFonts w:hint="default" w:ascii="宋体" w:hAnsi="Times New Roman" w:eastAsia="宋体" w:cs="Times New Roman"/>
          <w:snapToGrid/>
          <w:color w:val="auto"/>
          <w:spacing w:val="0"/>
          <w:kern w:val="0"/>
          <w:sz w:val="21"/>
          <w:szCs w:val="20"/>
          <w:lang w:val="en-US" w:eastAsia="en-US" w:bidi="ar-SA"/>
        </w:rPr>
      </w:pPr>
      <w:r>
        <w:rPr>
          <w:rFonts w:hint="default" w:ascii="宋体" w:hAnsi="Times New Roman" w:eastAsia="宋体" w:cs="Times New Roman"/>
          <w:snapToGrid/>
          <w:color w:val="auto"/>
          <w:spacing w:val="0"/>
          <w:kern w:val="0"/>
          <w:sz w:val="21"/>
          <w:szCs w:val="20"/>
          <w:lang w:val="en-US" w:eastAsia="en-US" w:bidi="ar-SA"/>
        </w:rPr>
        <w:t>HJ/T 194 环境空气质量手工监测技术规范</w:t>
      </w:r>
    </w:p>
    <w:p w14:paraId="05ECB371">
      <w:pPr>
        <w:pStyle w:val="13"/>
        <w:keepNext w:val="0"/>
        <w:keepLines w:val="0"/>
        <w:pageBreakBefore w:val="0"/>
        <w:widowControl/>
        <w:kinsoku w:val="0"/>
        <w:wordWrap/>
        <w:overflowPunct/>
        <w:topLinePunct w:val="0"/>
        <w:autoSpaceDE w:val="0"/>
        <w:autoSpaceDN w:val="0"/>
        <w:bidi w:val="0"/>
        <w:adjustRightInd w:val="0"/>
        <w:snapToGrid w:val="0"/>
        <w:spacing w:line="360" w:lineRule="auto"/>
        <w:ind w:left="3"/>
        <w:jc w:val="left"/>
        <w:textAlignment w:val="baseline"/>
        <w:rPr>
          <w:rFonts w:hint="default" w:ascii="宋体" w:hAnsi="Times New Roman" w:eastAsia="宋体" w:cs="Times New Roman"/>
          <w:snapToGrid/>
          <w:color w:val="auto"/>
          <w:spacing w:val="0"/>
          <w:kern w:val="0"/>
          <w:sz w:val="21"/>
          <w:szCs w:val="20"/>
          <w:lang w:val="en-US" w:eastAsia="en-US" w:bidi="ar-SA"/>
        </w:rPr>
      </w:pPr>
      <w:r>
        <w:rPr>
          <w:rFonts w:hint="default" w:ascii="宋体" w:hAnsi="Times New Roman" w:eastAsia="宋体" w:cs="Times New Roman"/>
          <w:snapToGrid/>
          <w:color w:val="auto"/>
          <w:spacing w:val="0"/>
          <w:kern w:val="0"/>
          <w:sz w:val="21"/>
          <w:szCs w:val="20"/>
          <w:lang w:val="en-US" w:eastAsia="en-US" w:bidi="ar-SA"/>
        </w:rPr>
        <w:t>HJ 610 环境影响评价技术导则地下水环境</w:t>
      </w:r>
    </w:p>
    <w:p w14:paraId="767B7ECF">
      <w:pPr>
        <w:pStyle w:val="13"/>
        <w:keepNext w:val="0"/>
        <w:keepLines w:val="0"/>
        <w:pageBreakBefore w:val="0"/>
        <w:widowControl/>
        <w:kinsoku w:val="0"/>
        <w:wordWrap/>
        <w:overflowPunct/>
        <w:topLinePunct w:val="0"/>
        <w:autoSpaceDE w:val="0"/>
        <w:autoSpaceDN w:val="0"/>
        <w:bidi w:val="0"/>
        <w:adjustRightInd w:val="0"/>
        <w:snapToGrid w:val="0"/>
        <w:spacing w:line="360" w:lineRule="auto"/>
        <w:ind w:left="3"/>
        <w:jc w:val="left"/>
        <w:textAlignment w:val="baseline"/>
        <w:rPr>
          <w:rFonts w:hint="default" w:ascii="宋体" w:hAnsi="Times New Roman" w:eastAsia="宋体" w:cs="Times New Roman"/>
          <w:snapToGrid/>
          <w:color w:val="auto"/>
          <w:spacing w:val="0"/>
          <w:kern w:val="0"/>
          <w:sz w:val="21"/>
          <w:szCs w:val="20"/>
          <w:lang w:val="en-US" w:eastAsia="en-US" w:bidi="ar-SA"/>
        </w:rPr>
      </w:pPr>
      <w:r>
        <w:rPr>
          <w:rFonts w:hint="default" w:ascii="宋体" w:hAnsi="Times New Roman" w:eastAsia="宋体" w:cs="Times New Roman"/>
          <w:snapToGrid/>
          <w:color w:val="auto"/>
          <w:spacing w:val="0"/>
          <w:kern w:val="0"/>
          <w:sz w:val="21"/>
          <w:szCs w:val="20"/>
          <w:lang w:val="en-US" w:eastAsia="en-US" w:bidi="ar-SA"/>
        </w:rPr>
        <w:t>HJ 964 环境影响评价技术导则</w:t>
      </w:r>
      <w:bookmarkStart w:id="18" w:name="_GoBack"/>
      <w:bookmarkEnd w:id="18"/>
      <w:r>
        <w:rPr>
          <w:rFonts w:hint="default" w:ascii="宋体" w:hAnsi="Times New Roman" w:eastAsia="宋体" w:cs="Times New Roman"/>
          <w:snapToGrid/>
          <w:color w:val="auto"/>
          <w:spacing w:val="0"/>
          <w:kern w:val="0"/>
          <w:sz w:val="21"/>
          <w:szCs w:val="20"/>
          <w:lang w:val="en-US" w:eastAsia="en-US" w:bidi="ar-SA"/>
        </w:rPr>
        <w:t>土壤环境（试行）</w:t>
      </w:r>
    </w:p>
    <w:p w14:paraId="12F356A7">
      <w:pPr>
        <w:pStyle w:val="13"/>
        <w:keepNext w:val="0"/>
        <w:keepLines w:val="0"/>
        <w:pageBreakBefore w:val="0"/>
        <w:widowControl/>
        <w:kinsoku w:val="0"/>
        <w:wordWrap/>
        <w:overflowPunct/>
        <w:topLinePunct w:val="0"/>
        <w:autoSpaceDE w:val="0"/>
        <w:autoSpaceDN w:val="0"/>
        <w:bidi w:val="0"/>
        <w:adjustRightInd w:val="0"/>
        <w:snapToGrid w:val="0"/>
        <w:spacing w:line="360" w:lineRule="auto"/>
        <w:ind w:left="3"/>
        <w:jc w:val="left"/>
        <w:textAlignment w:val="baseline"/>
        <w:rPr>
          <w:rFonts w:hint="default" w:ascii="宋体" w:hAnsi="Times New Roman" w:eastAsia="宋体" w:cs="Times New Roman"/>
          <w:snapToGrid/>
          <w:color w:val="auto"/>
          <w:spacing w:val="0"/>
          <w:kern w:val="0"/>
          <w:sz w:val="21"/>
          <w:szCs w:val="20"/>
          <w:lang w:val="en-US" w:eastAsia="en-US" w:bidi="ar-SA"/>
        </w:rPr>
      </w:pPr>
      <w:r>
        <w:rPr>
          <w:rFonts w:hint="default" w:ascii="宋体" w:hAnsi="Times New Roman" w:eastAsia="宋体" w:cs="Times New Roman"/>
          <w:snapToGrid/>
          <w:color w:val="auto"/>
          <w:spacing w:val="0"/>
          <w:kern w:val="0"/>
          <w:sz w:val="21"/>
          <w:szCs w:val="20"/>
          <w:lang w:val="en-US" w:eastAsia="en-US" w:bidi="ar-SA"/>
        </w:rPr>
        <w:t>HJ 664 环境空气质量监测点位布设技术规范（试行）</w:t>
      </w:r>
    </w:p>
    <w:p w14:paraId="7DA59F4D">
      <w:pPr>
        <w:pStyle w:val="13"/>
        <w:keepNext w:val="0"/>
        <w:keepLines w:val="0"/>
        <w:pageBreakBefore w:val="0"/>
        <w:widowControl/>
        <w:kinsoku w:val="0"/>
        <w:wordWrap/>
        <w:overflowPunct/>
        <w:topLinePunct w:val="0"/>
        <w:autoSpaceDE w:val="0"/>
        <w:autoSpaceDN w:val="0"/>
        <w:bidi w:val="0"/>
        <w:adjustRightInd w:val="0"/>
        <w:snapToGrid w:val="0"/>
        <w:spacing w:line="360" w:lineRule="auto"/>
        <w:ind w:left="3"/>
        <w:jc w:val="left"/>
        <w:textAlignment w:val="baseline"/>
        <w:rPr>
          <w:rFonts w:hint="default" w:ascii="宋体" w:hAnsi="Times New Roman" w:eastAsia="宋体" w:cs="Times New Roman"/>
          <w:snapToGrid/>
          <w:color w:val="auto"/>
          <w:spacing w:val="0"/>
          <w:kern w:val="0"/>
          <w:sz w:val="21"/>
          <w:szCs w:val="20"/>
          <w:lang w:val="en-US" w:eastAsia="en-US" w:bidi="ar-SA"/>
        </w:rPr>
      </w:pPr>
      <w:r>
        <w:rPr>
          <w:rFonts w:hint="default" w:ascii="宋体" w:hAnsi="Times New Roman" w:eastAsia="宋体" w:cs="Times New Roman"/>
          <w:snapToGrid/>
          <w:color w:val="auto"/>
          <w:spacing w:val="0"/>
          <w:kern w:val="0"/>
          <w:sz w:val="21"/>
          <w:szCs w:val="20"/>
          <w:lang w:val="en-US" w:eastAsia="en-US" w:bidi="ar-SA"/>
        </w:rPr>
        <w:t>GB 16171 炼焦化学工业污染物排放标准</w:t>
      </w:r>
    </w:p>
    <w:p w14:paraId="604680C6">
      <w:pPr>
        <w:pStyle w:val="13"/>
        <w:keepNext w:val="0"/>
        <w:keepLines w:val="0"/>
        <w:pageBreakBefore w:val="0"/>
        <w:widowControl/>
        <w:kinsoku w:val="0"/>
        <w:wordWrap/>
        <w:overflowPunct/>
        <w:topLinePunct w:val="0"/>
        <w:autoSpaceDE w:val="0"/>
        <w:autoSpaceDN w:val="0"/>
        <w:bidi w:val="0"/>
        <w:adjustRightInd w:val="0"/>
        <w:snapToGrid w:val="0"/>
        <w:spacing w:line="360" w:lineRule="auto"/>
        <w:ind w:left="3"/>
        <w:jc w:val="left"/>
        <w:textAlignment w:val="baseline"/>
        <w:rPr>
          <w:rFonts w:hint="default" w:ascii="宋体" w:hAnsi="Times New Roman" w:eastAsia="宋体" w:cs="Times New Roman"/>
          <w:snapToGrid/>
          <w:color w:val="auto"/>
          <w:spacing w:val="0"/>
          <w:kern w:val="0"/>
          <w:sz w:val="21"/>
          <w:szCs w:val="20"/>
          <w:lang w:val="en-US" w:eastAsia="en-US" w:bidi="ar-SA"/>
        </w:rPr>
      </w:pPr>
      <w:r>
        <w:rPr>
          <w:rFonts w:hint="default" w:ascii="宋体" w:hAnsi="Times New Roman" w:eastAsia="宋体" w:cs="Times New Roman"/>
          <w:snapToGrid/>
          <w:color w:val="auto"/>
          <w:spacing w:val="0"/>
          <w:kern w:val="0"/>
          <w:sz w:val="21"/>
          <w:szCs w:val="20"/>
          <w:lang w:val="en-US" w:eastAsia="en-US" w:bidi="ar-SA"/>
        </w:rPr>
        <w:t>GB 16171.1 炼焦化学工业大气污染物排放标准</w:t>
      </w:r>
    </w:p>
    <w:p w14:paraId="798EDD97">
      <w:pPr>
        <w:pStyle w:val="13"/>
        <w:keepNext w:val="0"/>
        <w:keepLines w:val="0"/>
        <w:pageBreakBefore w:val="0"/>
        <w:widowControl/>
        <w:kinsoku w:val="0"/>
        <w:wordWrap/>
        <w:overflowPunct/>
        <w:topLinePunct w:val="0"/>
        <w:autoSpaceDE w:val="0"/>
        <w:autoSpaceDN w:val="0"/>
        <w:bidi w:val="0"/>
        <w:adjustRightInd w:val="0"/>
        <w:snapToGrid w:val="0"/>
        <w:spacing w:line="360" w:lineRule="auto"/>
        <w:ind w:left="3"/>
        <w:jc w:val="left"/>
        <w:textAlignment w:val="baseline"/>
        <w:rPr>
          <w:rFonts w:hint="default" w:ascii="宋体" w:hAnsi="Times New Roman" w:eastAsia="宋体" w:cs="Times New Roman"/>
          <w:snapToGrid/>
          <w:color w:val="auto"/>
          <w:spacing w:val="0"/>
          <w:kern w:val="0"/>
          <w:sz w:val="21"/>
          <w:szCs w:val="20"/>
          <w:lang w:val="en-US" w:eastAsia="en-US" w:bidi="ar-SA"/>
        </w:rPr>
      </w:pPr>
      <w:r>
        <w:rPr>
          <w:rFonts w:hint="default" w:ascii="宋体" w:hAnsi="Times New Roman" w:eastAsia="宋体" w:cs="Times New Roman"/>
          <w:snapToGrid/>
          <w:color w:val="auto"/>
          <w:spacing w:val="0"/>
          <w:kern w:val="0"/>
          <w:sz w:val="21"/>
          <w:szCs w:val="20"/>
          <w:lang w:val="en-US" w:eastAsia="en-US" w:bidi="ar-SA"/>
        </w:rPr>
        <w:t>GB/T 25211 半焦（兰炭）产品分类及质量要求</w:t>
      </w:r>
    </w:p>
    <w:p w14:paraId="7B63304A">
      <w:pPr>
        <w:pStyle w:val="13"/>
        <w:keepNext w:val="0"/>
        <w:keepLines w:val="0"/>
        <w:pageBreakBefore w:val="0"/>
        <w:widowControl/>
        <w:kinsoku w:val="0"/>
        <w:wordWrap/>
        <w:overflowPunct/>
        <w:topLinePunct w:val="0"/>
        <w:autoSpaceDE w:val="0"/>
        <w:autoSpaceDN w:val="0"/>
        <w:bidi w:val="0"/>
        <w:adjustRightInd w:val="0"/>
        <w:snapToGrid w:val="0"/>
        <w:spacing w:line="360" w:lineRule="auto"/>
        <w:ind w:left="3"/>
        <w:jc w:val="left"/>
        <w:textAlignment w:val="baseline"/>
        <w:rPr>
          <w:rFonts w:hint="default" w:ascii="宋体" w:hAnsi="Times New Roman" w:eastAsia="宋体" w:cs="Times New Roman"/>
          <w:snapToGrid/>
          <w:color w:val="auto"/>
          <w:spacing w:val="0"/>
          <w:kern w:val="0"/>
          <w:sz w:val="21"/>
          <w:szCs w:val="20"/>
          <w:lang w:val="en-US" w:eastAsia="en-US" w:bidi="ar-SA"/>
        </w:rPr>
      </w:pPr>
      <w:r>
        <w:rPr>
          <w:rFonts w:hint="default" w:ascii="宋体" w:hAnsi="Times New Roman" w:eastAsia="宋体" w:cs="Times New Roman"/>
          <w:snapToGrid/>
          <w:color w:val="auto"/>
          <w:spacing w:val="0"/>
          <w:kern w:val="0"/>
          <w:sz w:val="21"/>
          <w:szCs w:val="20"/>
          <w:lang w:val="en-US" w:eastAsia="en-US" w:bidi="ar-SA"/>
        </w:rPr>
        <w:t>HJ 819 排污单位自行监测技术指南 总则</w:t>
      </w:r>
    </w:p>
    <w:p w14:paraId="10CFDC6A">
      <w:pPr>
        <w:pStyle w:val="13"/>
        <w:keepNext w:val="0"/>
        <w:keepLines w:val="0"/>
        <w:pageBreakBefore w:val="0"/>
        <w:widowControl/>
        <w:kinsoku w:val="0"/>
        <w:wordWrap/>
        <w:overflowPunct/>
        <w:topLinePunct w:val="0"/>
        <w:autoSpaceDE w:val="0"/>
        <w:autoSpaceDN w:val="0"/>
        <w:bidi w:val="0"/>
        <w:adjustRightInd w:val="0"/>
        <w:snapToGrid w:val="0"/>
        <w:spacing w:line="360" w:lineRule="auto"/>
        <w:ind w:left="3"/>
        <w:jc w:val="left"/>
        <w:textAlignment w:val="baseline"/>
        <w:rPr>
          <w:rFonts w:hint="default" w:ascii="宋体" w:hAnsi="Times New Roman" w:eastAsia="宋体" w:cs="Times New Roman"/>
          <w:snapToGrid/>
          <w:color w:val="auto"/>
          <w:spacing w:val="0"/>
          <w:kern w:val="0"/>
          <w:sz w:val="21"/>
          <w:szCs w:val="20"/>
          <w:lang w:val="en-US" w:eastAsia="en-US" w:bidi="ar-SA"/>
        </w:rPr>
      </w:pPr>
    </w:p>
    <w:p w14:paraId="0C5C9288">
      <w:pPr>
        <w:pStyle w:val="22"/>
        <w:spacing w:before="319" w:beforeLines="100" w:after="319" w:afterLines="100"/>
        <w:ind w:left="0" w:leftChars="0" w:firstLineChars="0"/>
        <w:outlineLvl w:val="0"/>
        <w:rPr>
          <w:rFonts w:hint="default" w:ascii="黑体" w:hAnsi="Times New Roman" w:eastAsia="黑体" w:cs="Times New Roman"/>
          <w:snapToGrid/>
          <w:color w:val="000000"/>
          <w:spacing w:val="0"/>
          <w:kern w:val="0"/>
          <w:sz w:val="21"/>
          <w:szCs w:val="20"/>
          <w:lang w:val="en-US" w:eastAsia="zh" w:bidi="ar-SA"/>
        </w:rPr>
      </w:pPr>
      <w:bookmarkStart w:id="5" w:name="_Toc3060"/>
      <w:bookmarkStart w:id="6" w:name="_Toc18424"/>
      <w:r>
        <w:rPr>
          <w:rFonts w:hint="default" w:ascii="黑体" w:hAnsi="Times New Roman" w:eastAsia="黑体" w:cs="Times New Roman"/>
          <w:snapToGrid/>
          <w:color w:val="000000"/>
          <w:spacing w:val="0"/>
          <w:kern w:val="0"/>
          <w:sz w:val="21"/>
          <w:szCs w:val="20"/>
          <w:lang w:val="en-US" w:eastAsia="zh" w:bidi="ar-SA"/>
        </w:rPr>
        <w:t>术语和定义</w:t>
      </w:r>
      <w:bookmarkEnd w:id="5"/>
      <w:bookmarkEnd w:id="6"/>
    </w:p>
    <w:p w14:paraId="75767D1C">
      <w:pPr>
        <w:pStyle w:val="13"/>
        <w:spacing w:before="319" w:beforeLines="100" w:after="319" w:afterLines="100"/>
        <w:ind w:firstLineChars="250"/>
        <w:outlineLvl w:val="1"/>
        <w:rPr>
          <w:rFonts w:hint="default" w:ascii="宋体" w:hAnsi="Times New Roman" w:eastAsia="宋体" w:cs="Times New Roman"/>
          <w:sz w:val="21"/>
          <w:szCs w:val="20"/>
          <w:lang w:eastAsia="en-US"/>
        </w:rPr>
      </w:pPr>
      <w:r>
        <w:rPr>
          <w:rFonts w:hint="default" w:ascii="宋体" w:hAnsi="Times New Roman" w:eastAsia="宋体" w:cs="Times New Roman"/>
          <w:snapToGrid/>
          <w:color w:val="000000"/>
          <w:spacing w:val="0"/>
          <w:kern w:val="0"/>
          <w:sz w:val="21"/>
          <w:szCs w:val="20"/>
          <w:lang w:val="en-US" w:eastAsia="en-US" w:bidi="ar-SA"/>
        </w:rPr>
        <w:t>GB/T 25211、GB 16171.1界定的以及下列术语和定义适用于本标准</w:t>
      </w:r>
    </w:p>
    <w:p w14:paraId="12D5879F">
      <w:pPr>
        <w:pStyle w:val="21"/>
        <w:widowControl/>
        <w:kinsoku w:val="0"/>
        <w:autoSpaceDE w:val="0"/>
        <w:autoSpaceDN w:val="0"/>
        <w:adjustRightInd w:val="0"/>
        <w:snapToGrid w:val="0"/>
        <w:spacing w:before="113" w:line="199" w:lineRule="auto"/>
        <w:ind w:left="-139" w:leftChars="0" w:firstLineChars="0"/>
        <w:jc w:val="left"/>
        <w:textAlignment w:val="baseline"/>
        <w:rPr>
          <w:rFonts w:hint="default" w:ascii="黑体" w:hAnsi="Times New Roman" w:eastAsia="黑体" w:cs="Times New Roman"/>
          <w:snapToGrid/>
          <w:color w:val="000000"/>
          <w:spacing w:val="0"/>
          <w:kern w:val="0"/>
          <w:sz w:val="21"/>
          <w:szCs w:val="21"/>
          <w:lang w:val="en-US" w:eastAsia="en-US" w:bidi="ar-SA"/>
        </w:rPr>
      </w:pPr>
    </w:p>
    <w:p w14:paraId="571C0208">
      <w:pPr>
        <w:pStyle w:val="13"/>
        <w:spacing w:before="159" w:beforeLines="50" w:after="159" w:afterLines="50"/>
        <w:ind w:firstLineChars="200"/>
        <w:outlineLvl w:val="2"/>
        <w:rPr>
          <w:rFonts w:hint="eastAsia" w:ascii="黑体" w:hAnsi="黑体" w:eastAsia="黑体" w:cs="黑体"/>
        </w:rPr>
      </w:pPr>
      <w:r>
        <w:rPr>
          <w:rFonts w:hint="eastAsia" w:ascii="黑体" w:hAnsi="黑体" w:eastAsia="黑体" w:cs="黑体"/>
          <w:lang w:val="en-US" w:eastAsia="zh"/>
        </w:rPr>
        <w:t>兰炭</w:t>
      </w:r>
      <w:r>
        <w:rPr>
          <w:rFonts w:hint="eastAsia" w:ascii="黑体" w:hAnsi="黑体" w:eastAsia="黑体" w:cs="黑体"/>
          <w:lang w:val="en-US" w:eastAsia="en-US"/>
        </w:rPr>
        <w:t xml:space="preserve"> </w:t>
      </w:r>
      <w:r>
        <w:rPr>
          <w:rFonts w:hint="eastAsia" w:ascii="黑体" w:hAnsi="黑体" w:eastAsia="黑体" w:cs="黑体"/>
          <w:lang w:val="en-US" w:eastAsia="zh-CN"/>
        </w:rPr>
        <w:t>s</w:t>
      </w:r>
      <w:r>
        <w:rPr>
          <w:rFonts w:hint="eastAsia" w:ascii="黑体" w:hAnsi="黑体" w:eastAsia="黑体" w:cs="黑体"/>
          <w:lang w:val="en-US" w:eastAsia="en-US"/>
        </w:rPr>
        <w:t xml:space="preserve">emi-coke  </w:t>
      </w:r>
      <w:r>
        <w:rPr>
          <w:rFonts w:hint="eastAsia" w:ascii="黑体" w:hAnsi="黑体" w:eastAsia="黑体" w:cs="黑体"/>
        </w:rPr>
        <w:t xml:space="preserve"> </w:t>
      </w:r>
    </w:p>
    <w:p w14:paraId="5A6CE35A">
      <w:pPr>
        <w:pStyle w:val="13"/>
        <w:keepNext w:val="0"/>
        <w:keepLines w:val="0"/>
        <w:pageBreakBefore w:val="0"/>
        <w:widowControl w:val="0"/>
        <w:kinsoku/>
        <w:wordWrap/>
        <w:overflowPunct/>
        <w:topLinePunct w:val="0"/>
        <w:autoSpaceDE/>
        <w:autoSpaceDN/>
        <w:bidi w:val="0"/>
        <w:adjustRightInd/>
        <w:snapToGrid/>
        <w:spacing w:line="423" w:lineRule="auto"/>
        <w:textAlignment w:val="auto"/>
        <w:rPr>
          <w:rFonts w:hint="default" w:ascii="宋体" w:hAnsi="Times New Roman" w:eastAsia="宋体" w:cs="Times New Roman"/>
          <w:snapToGrid/>
          <w:color w:val="000000"/>
          <w:spacing w:val="0"/>
          <w:kern w:val="0"/>
          <w:sz w:val="21"/>
          <w:szCs w:val="20"/>
          <w:lang w:eastAsia="en-US"/>
        </w:rPr>
      </w:pPr>
      <w:r>
        <w:rPr>
          <w:rFonts w:hint="default" w:ascii="宋体" w:hAnsi="Times New Roman" w:eastAsia="宋体" w:cs="Times New Roman"/>
          <w:snapToGrid/>
          <w:color w:val="000000"/>
          <w:spacing w:val="0"/>
          <w:kern w:val="0"/>
          <w:sz w:val="21"/>
          <w:szCs w:val="20"/>
          <w:lang w:eastAsia="en-US"/>
        </w:rPr>
        <w:t>无黏结性或弱黏结性的高挥发分烟煤在中低温条件下（600℃-750℃）热解后，得到的较低挥发分的固体炭质产品。</w:t>
      </w:r>
    </w:p>
    <w:p w14:paraId="4AEFF7BC">
      <w:pPr>
        <w:keepNext w:val="0"/>
        <w:keepLines w:val="0"/>
        <w:pageBreakBefore w:val="0"/>
        <w:widowControl w:val="0"/>
        <w:kinsoku/>
        <w:wordWrap/>
        <w:overflowPunct/>
        <w:topLinePunct w:val="0"/>
        <w:autoSpaceDE/>
        <w:autoSpaceDN/>
        <w:bidi w:val="0"/>
        <w:adjustRightInd/>
        <w:snapToGrid/>
        <w:spacing w:before="157" w:beforeLines="50" w:after="157" w:afterLines="50"/>
        <w:ind w:firstLine="420" w:firstLineChars="200"/>
        <w:textAlignment w:val="auto"/>
        <w:rPr>
          <w:rFonts w:hint="eastAsia" w:ascii="黑体" w:hAnsi="黑体" w:eastAsia="黑体" w:cs="黑体"/>
          <w:kern w:val="0"/>
          <w:sz w:val="21"/>
          <w:szCs w:val="20"/>
          <w:lang w:val="en-US" w:eastAsia="zh" w:bidi="ar-SA"/>
        </w:rPr>
      </w:pPr>
      <w:r>
        <w:rPr>
          <w:rFonts w:hint="eastAsia" w:ascii="黑体" w:hAnsi="黑体" w:eastAsia="黑体" w:cs="黑体"/>
          <w:kern w:val="0"/>
          <w:sz w:val="21"/>
          <w:szCs w:val="20"/>
          <w:lang w:val="en-US" w:eastAsia="zh" w:bidi="ar-SA"/>
        </w:rPr>
        <w:t>焦化（coke chemical industry）</w:t>
      </w:r>
    </w:p>
    <w:p w14:paraId="7A03C97B">
      <w:pPr>
        <w:keepNext w:val="0"/>
        <w:keepLines w:val="0"/>
        <w:pageBreakBefore w:val="0"/>
        <w:widowControl w:val="0"/>
        <w:kinsoku/>
        <w:wordWrap/>
        <w:overflowPunct/>
        <w:topLinePunct w:val="0"/>
        <w:autoSpaceDE/>
        <w:autoSpaceDN/>
        <w:bidi w:val="0"/>
        <w:adjustRightInd/>
        <w:snapToGrid/>
        <w:spacing w:line="423" w:lineRule="auto"/>
        <w:ind w:firstLine="420" w:firstLineChars="200"/>
        <w:textAlignment w:val="auto"/>
        <w:rPr>
          <w:rFonts w:hint="eastAsia" w:ascii="宋体" w:hAnsi="Times New Roman" w:eastAsia="宋体" w:cs="Times New Roman"/>
          <w:snapToGrid/>
          <w:color w:val="000000"/>
          <w:spacing w:val="0"/>
          <w:kern w:val="0"/>
          <w:sz w:val="21"/>
          <w:szCs w:val="20"/>
          <w:lang w:val="en-US" w:eastAsia="en-US" w:bidi="ar-SA"/>
        </w:rPr>
      </w:pPr>
      <w:r>
        <w:rPr>
          <w:rFonts w:hint="eastAsia" w:ascii="宋体" w:hAnsi="Times New Roman" w:eastAsia="宋体" w:cs="Times New Roman"/>
          <w:snapToGrid/>
          <w:color w:val="000000"/>
          <w:spacing w:val="0"/>
          <w:kern w:val="0"/>
          <w:sz w:val="21"/>
          <w:szCs w:val="20"/>
          <w:lang w:val="en-US" w:eastAsia="en-US" w:bidi="ar-SA"/>
        </w:rPr>
        <w:t>焦化为“炼焦化学工业”简称，炼焦煤按生产工艺和产品要求配比后，装入隔绝空气的密闭炼焦炉内，经高、中、低温干馏转化为焦炭、焦炉煤气和焦油、粗苯等化学产品的工艺过程，包括常规焦炉、热回收焦炉、半焦（兰炭）炭化炉三种炼焦炉型。</w:t>
      </w:r>
    </w:p>
    <w:p w14:paraId="77432A34">
      <w:pPr>
        <w:pStyle w:val="21"/>
        <w:widowControl/>
        <w:kinsoku w:val="0"/>
        <w:autoSpaceDE w:val="0"/>
        <w:autoSpaceDN w:val="0"/>
        <w:adjustRightInd w:val="0"/>
        <w:snapToGrid w:val="0"/>
        <w:spacing w:before="113" w:line="199" w:lineRule="auto"/>
        <w:ind w:left="-139" w:leftChars="0" w:firstLineChars="0"/>
        <w:jc w:val="left"/>
        <w:textAlignment w:val="baseline"/>
        <w:rPr>
          <w:rFonts w:hint="default" w:ascii="黑体" w:hAnsi="Times New Roman" w:eastAsia="黑体" w:cs="Times New Roman"/>
          <w:snapToGrid/>
          <w:color w:val="000000"/>
          <w:spacing w:val="0"/>
          <w:kern w:val="0"/>
          <w:sz w:val="21"/>
          <w:szCs w:val="21"/>
          <w:lang w:val="en-US" w:eastAsia="en-US" w:bidi="ar-SA"/>
        </w:rPr>
      </w:pPr>
    </w:p>
    <w:p w14:paraId="66DD1CCB">
      <w:pPr>
        <w:pStyle w:val="13"/>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200" w:lineRule="auto"/>
        <w:ind w:left="6"/>
        <w:jc w:val="left"/>
        <w:textAlignment w:val="baseline"/>
        <w:rPr>
          <w:rFonts w:hint="eastAsia" w:ascii="黑体" w:hAnsi="黑体" w:eastAsia="黑体" w:cs="黑体"/>
          <w:snapToGrid/>
          <w:color w:val="000000"/>
          <w:spacing w:val="0"/>
          <w:kern w:val="0"/>
          <w:sz w:val="21"/>
          <w:szCs w:val="20"/>
          <w:lang w:val="en-US" w:eastAsia="zh" w:bidi="ar-SA"/>
        </w:rPr>
      </w:pPr>
      <w:r>
        <w:rPr>
          <w:rFonts w:hint="eastAsia" w:ascii="黑体" w:hAnsi="黑体" w:eastAsia="黑体" w:cs="黑体"/>
          <w:snapToGrid/>
          <w:color w:val="000000"/>
          <w:spacing w:val="0"/>
          <w:kern w:val="0"/>
          <w:sz w:val="21"/>
          <w:szCs w:val="20"/>
          <w:lang w:val="en-US" w:eastAsia="zh" w:bidi="ar-SA"/>
        </w:rPr>
        <w:t>兰炭工业排污单位 semi-coke（Lantan） industry pollutant emission unit</w:t>
      </w:r>
    </w:p>
    <w:p w14:paraId="21886D54">
      <w:pPr>
        <w:pStyle w:val="13"/>
        <w:keepNext w:val="0"/>
        <w:keepLines w:val="0"/>
        <w:pageBreakBefore w:val="0"/>
        <w:widowControl w:val="0"/>
        <w:kinsoku/>
        <w:wordWrap/>
        <w:overflowPunct/>
        <w:topLinePunct w:val="0"/>
        <w:autoSpaceDE/>
        <w:autoSpaceDN/>
        <w:bidi w:val="0"/>
        <w:adjustRightInd/>
        <w:snapToGrid/>
        <w:spacing w:line="423" w:lineRule="auto"/>
        <w:ind w:firstLineChars="200"/>
        <w:textAlignment w:val="auto"/>
        <w:rPr>
          <w:rFonts w:hint="default" w:ascii="宋体" w:hAnsi="Times New Roman" w:eastAsia="宋体" w:cs="Times New Roman"/>
          <w:snapToGrid/>
          <w:color w:val="000000"/>
          <w:spacing w:val="0"/>
          <w:kern w:val="0"/>
          <w:sz w:val="21"/>
          <w:szCs w:val="20"/>
          <w:lang w:eastAsia="en-US"/>
        </w:rPr>
      </w:pPr>
      <w:r>
        <w:rPr>
          <w:rFonts w:hint="default" w:ascii="宋体" w:hAnsi="Times New Roman" w:eastAsia="宋体" w:cs="Times New Roman"/>
          <w:snapToGrid/>
          <w:color w:val="000000"/>
          <w:spacing w:val="0"/>
          <w:kern w:val="0"/>
          <w:sz w:val="21"/>
          <w:szCs w:val="20"/>
          <w:lang w:eastAsia="en-US"/>
        </w:rPr>
        <w:t>指含有兰炭工业生产过程的排污单位，包括兰炭工业企业及钢铁、</w:t>
      </w:r>
      <w:r>
        <w:rPr>
          <w:rFonts w:hint="default" w:ascii="宋体" w:hAnsi="Times New Roman" w:eastAsia="宋体" w:cs="Times New Roman"/>
          <w:snapToGrid/>
          <w:color w:val="000000"/>
          <w:spacing w:val="0"/>
          <w:kern w:val="0"/>
          <w:sz w:val="21"/>
          <w:szCs w:val="20"/>
          <w:lang w:val="en-US" w:eastAsia="en-US"/>
        </w:rPr>
        <w:t>金属镁、铁合金、电石、石灰</w:t>
      </w:r>
      <w:r>
        <w:rPr>
          <w:rFonts w:hint="default" w:ascii="宋体" w:hAnsi="Times New Roman" w:eastAsia="宋体" w:cs="Times New Roman"/>
          <w:snapToGrid/>
          <w:color w:val="000000"/>
          <w:spacing w:val="0"/>
          <w:kern w:val="0"/>
          <w:sz w:val="21"/>
          <w:szCs w:val="20"/>
          <w:lang w:eastAsia="en-US"/>
        </w:rPr>
        <w:t>等工业企业等兰炭分厂。</w:t>
      </w:r>
    </w:p>
    <w:p w14:paraId="5073E61F">
      <w:pPr>
        <w:pStyle w:val="22"/>
        <w:spacing w:before="319" w:beforeLines="100" w:after="319" w:afterLines="100"/>
        <w:ind w:left="0" w:leftChars="0" w:firstLineChars="0"/>
        <w:outlineLvl w:val="0"/>
        <w:rPr>
          <w:rFonts w:hint="default" w:ascii="黑体" w:hAnsi="Times New Roman" w:eastAsia="黑体" w:cs="Times New Roman"/>
          <w:snapToGrid/>
          <w:color w:val="000000"/>
          <w:spacing w:val="0"/>
          <w:kern w:val="0"/>
          <w:sz w:val="21"/>
          <w:szCs w:val="20"/>
          <w:lang w:val="en-US" w:eastAsia="zh" w:bidi="ar-SA"/>
        </w:rPr>
      </w:pPr>
      <w:bookmarkStart w:id="7" w:name="_Toc20694"/>
      <w:bookmarkStart w:id="8" w:name="_Toc20340"/>
      <w:r>
        <w:rPr>
          <w:rFonts w:hint="default" w:ascii="黑体" w:hAnsi="Times New Roman" w:eastAsia="黑体" w:cs="Times New Roman"/>
          <w:snapToGrid/>
          <w:color w:val="000000"/>
          <w:spacing w:val="0"/>
          <w:kern w:val="0"/>
          <w:sz w:val="21"/>
          <w:szCs w:val="20"/>
          <w:lang w:val="en-US" w:eastAsia="zh" w:bidi="ar-SA"/>
        </w:rPr>
        <w:t>自行监测的一般要求</w:t>
      </w:r>
      <w:bookmarkEnd w:id="7"/>
      <w:bookmarkEnd w:id="8"/>
    </w:p>
    <w:p w14:paraId="19C200F3">
      <w:pPr>
        <w:pStyle w:val="13"/>
        <w:keepNext w:val="0"/>
        <w:keepLines w:val="0"/>
        <w:pageBreakBefore w:val="0"/>
        <w:widowControl w:val="0"/>
        <w:kinsoku/>
        <w:wordWrap/>
        <w:overflowPunct/>
        <w:topLinePunct w:val="0"/>
        <w:autoSpaceDE/>
        <w:autoSpaceDN/>
        <w:bidi w:val="0"/>
        <w:adjustRightInd/>
        <w:snapToGrid/>
        <w:spacing w:line="423" w:lineRule="auto"/>
        <w:ind w:firstLineChars="200"/>
        <w:textAlignment w:val="auto"/>
        <w:rPr>
          <w:rFonts w:hint="default" w:ascii="宋体" w:hAnsi="Times New Roman" w:eastAsia="宋体" w:cs="Times New Roman"/>
          <w:snapToGrid/>
          <w:color w:val="000000"/>
          <w:spacing w:val="0"/>
          <w:kern w:val="0"/>
          <w:sz w:val="21"/>
          <w:szCs w:val="20"/>
          <w:lang w:eastAsia="en-US"/>
        </w:rPr>
      </w:pPr>
      <w:bookmarkStart w:id="9" w:name="_Toc18518"/>
      <w:r>
        <w:rPr>
          <w:rFonts w:hint="default" w:ascii="宋体" w:hAnsi="Times New Roman" w:eastAsia="宋体" w:cs="Times New Roman"/>
          <w:snapToGrid/>
          <w:color w:val="000000"/>
          <w:spacing w:val="0"/>
          <w:kern w:val="0"/>
          <w:sz w:val="21"/>
          <w:szCs w:val="20"/>
          <w:lang w:eastAsia="en-US"/>
        </w:rPr>
        <w:t>排污单位应查清本单位的污染源</w:t>
      </w:r>
      <w:r>
        <w:rPr>
          <w:rFonts w:hint="eastAsia" w:cs="Times New Roman"/>
          <w:snapToGrid/>
          <w:spacing w:val="0"/>
          <w:kern w:val="0"/>
          <w:sz w:val="21"/>
          <w:szCs w:val="20"/>
          <w:lang w:eastAsia="zh-CN"/>
        </w:rPr>
        <w:t>、</w:t>
      </w:r>
      <w:r>
        <w:rPr>
          <w:rFonts w:hint="default" w:ascii="宋体" w:hAnsi="Times New Roman" w:eastAsia="宋体" w:cs="Times New Roman"/>
          <w:snapToGrid/>
          <w:color w:val="000000"/>
          <w:spacing w:val="0"/>
          <w:kern w:val="0"/>
          <w:sz w:val="21"/>
          <w:szCs w:val="20"/>
          <w:lang w:eastAsia="en-US"/>
        </w:rPr>
        <w:t>污染物指标及潜在的环境影响，制定监测方案，设置</w:t>
      </w:r>
      <w:bookmarkEnd w:id="9"/>
      <w:bookmarkStart w:id="10" w:name="_Toc32354"/>
      <w:r>
        <w:rPr>
          <w:rFonts w:hint="default" w:ascii="宋体" w:hAnsi="Times New Roman" w:eastAsia="宋体" w:cs="Times New Roman"/>
          <w:snapToGrid/>
          <w:color w:val="000000"/>
          <w:spacing w:val="0"/>
          <w:kern w:val="0"/>
          <w:sz w:val="21"/>
          <w:szCs w:val="20"/>
          <w:lang w:eastAsia="en-US"/>
        </w:rPr>
        <w:t>和维护监测设施，按照监测方案开展自行监测，做好质量保证和质量控制，记录和保存监测</w:t>
      </w:r>
      <w:bookmarkEnd w:id="10"/>
      <w:bookmarkStart w:id="11" w:name="_Toc12948"/>
      <w:r>
        <w:rPr>
          <w:rFonts w:hint="default" w:ascii="宋体" w:hAnsi="Times New Roman" w:eastAsia="宋体" w:cs="Times New Roman"/>
          <w:snapToGrid/>
          <w:color w:val="000000"/>
          <w:spacing w:val="0"/>
          <w:kern w:val="0"/>
          <w:sz w:val="21"/>
          <w:szCs w:val="20"/>
          <w:lang w:eastAsia="en-US"/>
        </w:rPr>
        <w:t>数据和信息，依法向社会公开监测结果。</w:t>
      </w:r>
      <w:bookmarkEnd w:id="11"/>
    </w:p>
    <w:p w14:paraId="36BADB2F">
      <w:pPr>
        <w:pStyle w:val="22"/>
        <w:spacing w:before="319" w:beforeLines="100" w:after="319" w:afterLines="100"/>
        <w:ind w:left="0" w:leftChars="0" w:firstLineChars="0"/>
        <w:outlineLvl w:val="0"/>
        <w:rPr>
          <w:rFonts w:hint="default" w:ascii="黑体" w:hAnsi="Times New Roman" w:eastAsia="黑体" w:cs="Times New Roman"/>
          <w:snapToGrid/>
          <w:spacing w:val="0"/>
          <w:kern w:val="0"/>
          <w:sz w:val="21"/>
          <w:szCs w:val="20"/>
          <w:lang w:val="en-US" w:eastAsia="zh" w:bidi="ar-SA"/>
        </w:rPr>
      </w:pPr>
      <w:bookmarkStart w:id="12" w:name="_Toc10668"/>
      <w:bookmarkStart w:id="13" w:name="_Toc2947"/>
      <w:r>
        <w:rPr>
          <w:rFonts w:hint="default" w:ascii="黑体" w:hAnsi="Times New Roman" w:eastAsia="黑体" w:cs="Times New Roman"/>
          <w:snapToGrid/>
          <w:color w:val="000000"/>
          <w:spacing w:val="0"/>
          <w:kern w:val="0"/>
          <w:sz w:val="21"/>
          <w:szCs w:val="20"/>
          <w:lang w:val="en-US" w:eastAsia="zh" w:bidi="ar-SA"/>
        </w:rPr>
        <w:t>监测方案</w:t>
      </w:r>
      <w:bookmarkEnd w:id="12"/>
      <w:bookmarkEnd w:id="13"/>
      <w:r>
        <w:rPr>
          <w:rFonts w:hint="eastAsia" w:hAnsi="Times New Roman" w:cs="Times New Roman"/>
          <w:snapToGrid/>
          <w:spacing w:val="0"/>
          <w:kern w:val="0"/>
          <w:sz w:val="21"/>
          <w:szCs w:val="20"/>
          <w:lang w:val="en-US" w:eastAsia="zh-CN" w:bidi="ar-SA"/>
        </w:rPr>
        <w:t xml:space="preserve"> </w:t>
      </w:r>
    </w:p>
    <w:p w14:paraId="4CA250E8">
      <w:pPr>
        <w:pStyle w:val="21"/>
        <w:spacing w:before="319" w:beforeLines="100" w:after="319" w:afterLines="100"/>
        <w:ind w:left="0" w:leftChars="0" w:firstLineChars="0"/>
        <w:outlineLvl w:val="0"/>
        <w:rPr>
          <w:rFonts w:hint="eastAsia"/>
          <w:lang w:val="en-US" w:eastAsia="en-US"/>
        </w:rPr>
      </w:pPr>
      <w:r>
        <w:rPr>
          <w:rFonts w:hint="eastAsia"/>
          <w:lang w:val="en-US" w:eastAsia="en-US"/>
        </w:rPr>
        <w:t>废气排放监测</w:t>
      </w:r>
    </w:p>
    <w:p w14:paraId="0ECB074C">
      <w:pPr>
        <w:pStyle w:val="23"/>
        <w:spacing w:before="319" w:beforeLines="100" w:after="319" w:afterLines="100"/>
        <w:ind w:left="0" w:leftChars="0" w:firstLineChars="0"/>
        <w:outlineLvl w:val="0"/>
        <w:rPr>
          <w:rFonts w:hint="default" w:ascii="黑体" w:hAnsi="Times New Roman" w:eastAsia="黑体" w:cs="Times New Roman"/>
          <w:snapToGrid/>
          <w:color w:val="000000"/>
          <w:spacing w:val="0"/>
          <w:kern w:val="0"/>
          <w:sz w:val="21"/>
          <w:szCs w:val="21"/>
          <w:lang w:val="en-US" w:eastAsia="en-US" w:bidi="ar-SA"/>
        </w:rPr>
      </w:pPr>
      <w:r>
        <w:rPr>
          <w:rFonts w:hint="default" w:ascii="黑体" w:hAnsi="Times New Roman" w:eastAsia="黑体" w:cs="Times New Roman"/>
          <w:snapToGrid/>
          <w:color w:val="000000"/>
          <w:spacing w:val="0"/>
          <w:kern w:val="0"/>
          <w:sz w:val="21"/>
          <w:szCs w:val="21"/>
          <w:lang w:val="en-US" w:eastAsia="en-US" w:bidi="ar-SA"/>
        </w:rPr>
        <w:t>有组织废气排放监测</w:t>
      </w:r>
    </w:p>
    <w:p w14:paraId="77DC0E50">
      <w:pPr>
        <w:pStyle w:val="23"/>
        <w:keepNext w:val="0"/>
        <w:keepLines w:val="0"/>
        <w:pageBreakBefore w:val="0"/>
        <w:widowControl/>
        <w:numPr>
          <w:ilvl w:val="3"/>
          <w:numId w:val="2"/>
        </w:numPr>
        <w:kinsoku/>
        <w:wordWrap/>
        <w:overflowPunct/>
        <w:topLinePunct w:val="0"/>
        <w:autoSpaceDE/>
        <w:autoSpaceDN/>
        <w:bidi w:val="0"/>
        <w:adjustRightInd/>
        <w:snapToGrid/>
        <w:spacing w:before="283" w:line="423" w:lineRule="auto"/>
        <w:textAlignment w:val="auto"/>
        <w:rPr>
          <w:rFonts w:hint="eastAsia"/>
          <w:lang w:val="en-US" w:eastAsia="zh"/>
        </w:rPr>
      </w:pPr>
      <w:r>
        <w:rPr>
          <w:rFonts w:hint="eastAsia"/>
          <w:lang w:val="en-US" w:eastAsia="zh"/>
        </w:rPr>
        <w:t>监测点位</w:t>
      </w:r>
    </w:p>
    <w:p w14:paraId="397D54C0">
      <w:pPr>
        <w:pStyle w:val="25"/>
        <w:keepNext w:val="0"/>
        <w:keepLines w:val="0"/>
        <w:pageBreakBefore w:val="0"/>
        <w:widowControl w:val="0"/>
        <w:numPr>
          <w:ilvl w:val="0"/>
          <w:numId w:val="0"/>
        </w:numPr>
        <w:kinsoku/>
        <w:wordWrap/>
        <w:overflowPunct/>
        <w:topLinePunct w:val="0"/>
        <w:autoSpaceDE/>
        <w:autoSpaceDN/>
        <w:bidi w:val="0"/>
        <w:adjustRightInd/>
        <w:snapToGrid/>
        <w:spacing w:line="423" w:lineRule="auto"/>
        <w:ind w:leftChars="200" w:firstLine="210" w:firstLineChars="100"/>
        <w:jc w:val="left"/>
        <w:textAlignment w:val="auto"/>
        <w:rPr>
          <w:rFonts w:hint="default" w:ascii="宋体" w:hAnsi="Times New Roman" w:eastAsia="宋体" w:cs="Times New Roman"/>
          <w:snapToGrid/>
          <w:color w:val="000000"/>
          <w:spacing w:val="0"/>
          <w:kern w:val="0"/>
          <w:sz w:val="21"/>
          <w:szCs w:val="20"/>
          <w:lang w:eastAsia="en-US"/>
        </w:rPr>
      </w:pPr>
      <w:r>
        <w:rPr>
          <w:rFonts w:hint="default" w:ascii="宋体" w:hAnsi="Times New Roman" w:eastAsia="宋体" w:cs="Times New Roman"/>
          <w:snapToGrid/>
          <w:color w:val="000000"/>
          <w:spacing w:val="0"/>
          <w:kern w:val="0"/>
          <w:sz w:val="21"/>
          <w:szCs w:val="20"/>
          <w:lang w:eastAsia="en-US"/>
        </w:rPr>
        <w:t>对于多个污染源或生产设备共用一个排气筒的，监测点位可布设在共用排气筒上。当执行不同排放控制要求的废气合并排气筒排放时，应在废气混合前进行监测；若监测点位只能布设在混合后的排气筒上，监测指标应涵盖所对应污染源或生产设备的监测指标，最低监测频次按照严格的执行。</w:t>
      </w:r>
    </w:p>
    <w:p w14:paraId="5324F3AC">
      <w:pPr>
        <w:pStyle w:val="23"/>
        <w:keepNext w:val="0"/>
        <w:keepLines w:val="0"/>
        <w:pageBreakBefore w:val="0"/>
        <w:widowControl w:val="0"/>
        <w:numPr>
          <w:ilvl w:val="3"/>
          <w:numId w:val="2"/>
        </w:numPr>
        <w:kinsoku/>
        <w:wordWrap/>
        <w:overflowPunct/>
        <w:topLinePunct w:val="0"/>
        <w:autoSpaceDE/>
        <w:autoSpaceDN/>
        <w:bidi w:val="0"/>
        <w:adjustRightInd/>
        <w:snapToGrid/>
        <w:spacing w:line="423" w:lineRule="auto"/>
        <w:textAlignment w:val="auto"/>
        <w:rPr>
          <w:rFonts w:hint="eastAsia" w:ascii="黑体" w:hAnsi="Times New Roman" w:eastAsia="黑体" w:cs="Times New Roman"/>
          <w:snapToGrid/>
          <w:color w:val="FF0000"/>
          <w:spacing w:val="0"/>
          <w:kern w:val="0"/>
          <w:sz w:val="21"/>
          <w:szCs w:val="21"/>
          <w:lang w:eastAsia="en-US"/>
        </w:rPr>
      </w:pPr>
      <w:r>
        <w:rPr>
          <w:rFonts w:hint="eastAsia" w:ascii="黑体" w:hAnsi="Times New Roman" w:eastAsia="黑体" w:cs="Times New Roman"/>
          <w:snapToGrid/>
          <w:color w:val="000000"/>
          <w:spacing w:val="0"/>
          <w:kern w:val="0"/>
          <w:sz w:val="21"/>
          <w:szCs w:val="21"/>
          <w:lang w:val="en-US" w:eastAsia="en-US" w:bidi="ar-SA"/>
        </w:rPr>
        <w:t>监测指标</w:t>
      </w:r>
    </w:p>
    <w:p w14:paraId="5C5A0585">
      <w:pPr>
        <w:pStyle w:val="13"/>
        <w:keepNext w:val="0"/>
        <w:keepLines w:val="0"/>
        <w:pageBreakBefore w:val="0"/>
        <w:widowControl w:val="0"/>
        <w:kinsoku/>
        <w:wordWrap/>
        <w:overflowPunct/>
        <w:topLinePunct w:val="0"/>
        <w:autoSpaceDE/>
        <w:autoSpaceDN/>
        <w:bidi w:val="0"/>
        <w:adjustRightInd/>
        <w:snapToGrid/>
        <w:spacing w:line="423" w:lineRule="auto"/>
        <w:textAlignment w:val="auto"/>
        <w:rPr>
          <w:rFonts w:hint="default" w:ascii="宋体" w:hAnsi="Times New Roman" w:eastAsia="宋体" w:cs="Times New Roman"/>
          <w:snapToGrid/>
          <w:color w:val="000000"/>
          <w:spacing w:val="0"/>
          <w:kern w:val="0"/>
          <w:sz w:val="21"/>
          <w:szCs w:val="20"/>
          <w:lang w:eastAsia="en-US"/>
        </w:rPr>
      </w:pPr>
      <w:r>
        <w:rPr>
          <w:rFonts w:hint="default" w:ascii="宋体" w:hAnsi="Times New Roman" w:eastAsia="宋体" w:cs="Times New Roman"/>
          <w:snapToGrid/>
          <w:color w:val="000000"/>
          <w:spacing w:val="0"/>
          <w:kern w:val="0"/>
          <w:sz w:val="21"/>
          <w:szCs w:val="20"/>
          <w:lang w:eastAsia="en-US"/>
        </w:rPr>
        <w:t>排污单位各产污环节有组织废气排放监测指标按照表</w:t>
      </w:r>
      <w:r>
        <w:rPr>
          <w:rFonts w:hint="default" w:ascii="宋体" w:hAnsi="Times New Roman" w:eastAsia="宋体" w:cs="Times New Roman"/>
          <w:snapToGrid/>
          <w:color w:val="000000"/>
          <w:spacing w:val="0"/>
          <w:kern w:val="0"/>
          <w:sz w:val="21"/>
          <w:szCs w:val="20"/>
          <w:lang w:val="en-US" w:eastAsia="en-US"/>
        </w:rPr>
        <w:t>1</w:t>
      </w:r>
      <w:r>
        <w:rPr>
          <w:rFonts w:hint="default" w:ascii="宋体" w:hAnsi="Times New Roman" w:eastAsia="宋体" w:cs="Times New Roman"/>
          <w:snapToGrid/>
          <w:color w:val="000000"/>
          <w:spacing w:val="0"/>
          <w:kern w:val="0"/>
          <w:sz w:val="21"/>
          <w:szCs w:val="20"/>
          <w:lang w:eastAsia="en-US"/>
        </w:rPr>
        <w:t>执行。</w:t>
      </w:r>
    </w:p>
    <w:p w14:paraId="345D3CE8">
      <w:pPr>
        <w:pStyle w:val="23"/>
        <w:keepNext w:val="0"/>
        <w:keepLines w:val="0"/>
        <w:pageBreakBefore w:val="0"/>
        <w:widowControl w:val="0"/>
        <w:numPr>
          <w:ilvl w:val="3"/>
          <w:numId w:val="2"/>
        </w:numPr>
        <w:kinsoku/>
        <w:wordWrap/>
        <w:overflowPunct/>
        <w:topLinePunct w:val="0"/>
        <w:autoSpaceDE/>
        <w:autoSpaceDN/>
        <w:bidi w:val="0"/>
        <w:adjustRightInd/>
        <w:snapToGrid/>
        <w:spacing w:line="423" w:lineRule="auto"/>
        <w:textAlignment w:val="auto"/>
        <w:rPr>
          <w:rFonts w:hint="eastAsia" w:ascii="黑体" w:hAnsi="Times New Roman" w:eastAsia="黑体" w:cs="Times New Roman"/>
          <w:snapToGrid/>
          <w:color w:val="FF0000"/>
          <w:spacing w:val="0"/>
          <w:kern w:val="0"/>
          <w:sz w:val="21"/>
          <w:szCs w:val="21"/>
          <w:lang w:eastAsia="en-US"/>
        </w:rPr>
      </w:pPr>
      <w:r>
        <w:rPr>
          <w:rFonts w:hint="eastAsia" w:ascii="黑体" w:hAnsi="Times New Roman" w:eastAsia="黑体" w:cs="Times New Roman"/>
          <w:snapToGrid/>
          <w:color w:val="000000"/>
          <w:spacing w:val="0"/>
          <w:kern w:val="0"/>
          <w:sz w:val="21"/>
          <w:szCs w:val="21"/>
          <w:lang w:val="en-US" w:eastAsia="en-US" w:bidi="ar-SA"/>
        </w:rPr>
        <w:t>监测频次</w:t>
      </w:r>
    </w:p>
    <w:p w14:paraId="4F603D30">
      <w:pPr>
        <w:pStyle w:val="13"/>
        <w:keepNext w:val="0"/>
        <w:keepLines w:val="0"/>
        <w:pageBreakBefore w:val="0"/>
        <w:widowControl w:val="0"/>
        <w:kinsoku/>
        <w:wordWrap/>
        <w:overflowPunct/>
        <w:topLinePunct w:val="0"/>
        <w:autoSpaceDE/>
        <w:autoSpaceDN/>
        <w:bidi w:val="0"/>
        <w:adjustRightInd/>
        <w:snapToGrid/>
        <w:spacing w:line="423" w:lineRule="auto"/>
        <w:textAlignment w:val="auto"/>
        <w:rPr>
          <w:rFonts w:hint="default" w:ascii="宋体" w:hAnsi="Times New Roman" w:eastAsia="宋体" w:cs="Times New Roman"/>
          <w:snapToGrid/>
          <w:spacing w:val="0"/>
          <w:kern w:val="0"/>
          <w:sz w:val="21"/>
          <w:szCs w:val="20"/>
          <w:lang w:eastAsia="en-US"/>
        </w:rPr>
      </w:pPr>
      <w:r>
        <w:rPr>
          <w:rFonts w:hint="default" w:ascii="宋体" w:hAnsi="Times New Roman" w:eastAsia="宋体" w:cs="Times New Roman"/>
          <w:snapToGrid/>
          <w:color w:val="000000"/>
          <w:spacing w:val="0"/>
          <w:kern w:val="0"/>
          <w:sz w:val="21"/>
          <w:szCs w:val="20"/>
          <w:lang w:eastAsia="en-US"/>
        </w:rPr>
        <w:t>排污单位各产污环节有组织废气排放最低监测频次按照表</w:t>
      </w:r>
      <w:r>
        <w:rPr>
          <w:rFonts w:hint="default" w:ascii="宋体" w:hAnsi="Times New Roman" w:eastAsia="宋体" w:cs="Times New Roman"/>
          <w:snapToGrid/>
          <w:color w:val="000000"/>
          <w:spacing w:val="0"/>
          <w:kern w:val="0"/>
          <w:sz w:val="21"/>
          <w:szCs w:val="20"/>
          <w:lang w:val="en-US" w:eastAsia="en-US"/>
        </w:rPr>
        <w:t>1</w:t>
      </w:r>
      <w:r>
        <w:rPr>
          <w:rFonts w:hint="default" w:ascii="宋体" w:hAnsi="Times New Roman" w:eastAsia="宋体" w:cs="Times New Roman"/>
          <w:snapToGrid/>
          <w:color w:val="000000"/>
          <w:spacing w:val="0"/>
          <w:kern w:val="0"/>
          <w:sz w:val="21"/>
          <w:szCs w:val="20"/>
          <w:lang w:eastAsia="en-US"/>
        </w:rPr>
        <w:t>执行。</w:t>
      </w:r>
    </w:p>
    <w:p w14:paraId="4FB23512">
      <w:pPr>
        <w:pStyle w:val="20"/>
        <w:bidi w:val="0"/>
        <w:ind w:left="6093" w:hanging="6093" w:hangingChars="2745"/>
      </w:pPr>
      <w:r>
        <w:rPr>
          <w:rFonts w:hint="eastAsia" w:ascii="黑体" w:hAnsi="黑体" w:eastAsia="黑体" w:cs="黑体"/>
          <w:snapToGrid w:val="0"/>
          <w:color w:val="000000"/>
          <w:spacing w:val="6"/>
          <w:kern w:val="0"/>
          <w:sz w:val="21"/>
          <w:szCs w:val="21"/>
          <w:lang w:val="en-US" w:eastAsia="en-US" w:bidi="ar-SA"/>
        </w:rPr>
        <w:t>有组织废气监测点位、监测指标及最低监测频次</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3"/>
        <w:gridCol w:w="1661"/>
        <w:gridCol w:w="3949"/>
        <w:gridCol w:w="1685"/>
      </w:tblGrid>
      <w:tr w14:paraId="4487C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1073" w:type="pct"/>
            <w:noWrap w:val="0"/>
            <w:vAlign w:val="center"/>
          </w:tcPr>
          <w:p w14:paraId="3430D140">
            <w:pPr>
              <w:autoSpaceDE w:val="0"/>
              <w:autoSpaceDN w:val="0"/>
              <w:adjustRightInd w:val="0"/>
              <w:spacing w:line="360" w:lineRule="auto"/>
              <w:jc w:val="center"/>
              <w:rPr>
                <w:rFonts w:hint="eastAsia" w:asciiTheme="minorEastAsia" w:hAnsiTheme="minorEastAsia" w:eastAsiaTheme="minorEastAsia" w:cstheme="minorEastAsia"/>
                <w:b/>
                <w:bCs/>
                <w:color w:val="auto"/>
                <w:kern w:val="0"/>
                <w:sz w:val="18"/>
                <w:szCs w:val="18"/>
                <w:lang w:val="en-US" w:eastAsia="zh-CN"/>
              </w:rPr>
            </w:pPr>
            <w:r>
              <w:rPr>
                <w:rFonts w:hint="eastAsia" w:asciiTheme="minorEastAsia" w:hAnsiTheme="minorEastAsia" w:eastAsiaTheme="minorEastAsia" w:cstheme="minorEastAsia"/>
                <w:b/>
                <w:bCs/>
                <w:color w:val="auto"/>
                <w:kern w:val="0"/>
                <w:sz w:val="18"/>
                <w:szCs w:val="18"/>
                <w:lang w:val="en-US" w:eastAsia="zh-CN"/>
              </w:rPr>
              <w:t>产污环节</w:t>
            </w:r>
          </w:p>
        </w:tc>
        <w:tc>
          <w:tcPr>
            <w:tcW w:w="894" w:type="pct"/>
            <w:noWrap w:val="0"/>
            <w:vAlign w:val="center"/>
          </w:tcPr>
          <w:p w14:paraId="5ADB34BA">
            <w:pPr>
              <w:autoSpaceDE w:val="0"/>
              <w:autoSpaceDN w:val="0"/>
              <w:adjustRightInd w:val="0"/>
              <w:spacing w:line="360" w:lineRule="auto"/>
              <w:jc w:val="center"/>
              <w:rPr>
                <w:rFonts w:hint="eastAsia" w:asciiTheme="minorEastAsia" w:hAnsiTheme="minorEastAsia" w:eastAsiaTheme="minorEastAsia" w:cstheme="minorEastAsia"/>
                <w:b/>
                <w:bCs/>
                <w:color w:val="auto"/>
                <w:kern w:val="0"/>
                <w:sz w:val="18"/>
                <w:szCs w:val="18"/>
              </w:rPr>
            </w:pPr>
            <w:r>
              <w:rPr>
                <w:rFonts w:hint="eastAsia" w:asciiTheme="minorEastAsia" w:hAnsiTheme="minorEastAsia" w:eastAsiaTheme="minorEastAsia" w:cstheme="minorEastAsia"/>
                <w:b/>
                <w:bCs/>
                <w:color w:val="auto"/>
                <w:kern w:val="0"/>
                <w:sz w:val="18"/>
                <w:szCs w:val="18"/>
              </w:rPr>
              <w:t>监测点位</w:t>
            </w:r>
          </w:p>
        </w:tc>
        <w:tc>
          <w:tcPr>
            <w:tcW w:w="2126" w:type="pct"/>
            <w:noWrap w:val="0"/>
            <w:vAlign w:val="center"/>
          </w:tcPr>
          <w:p w14:paraId="6CC659A2">
            <w:pPr>
              <w:autoSpaceDE w:val="0"/>
              <w:autoSpaceDN w:val="0"/>
              <w:adjustRightInd w:val="0"/>
              <w:spacing w:line="360" w:lineRule="auto"/>
              <w:jc w:val="center"/>
              <w:rPr>
                <w:rFonts w:hint="eastAsia" w:asciiTheme="minorEastAsia" w:hAnsiTheme="minorEastAsia" w:eastAsiaTheme="minorEastAsia" w:cstheme="minorEastAsia"/>
                <w:b/>
                <w:bCs/>
                <w:color w:val="auto"/>
                <w:kern w:val="0"/>
                <w:sz w:val="18"/>
                <w:szCs w:val="18"/>
              </w:rPr>
            </w:pPr>
            <w:r>
              <w:rPr>
                <w:rFonts w:hint="eastAsia" w:asciiTheme="minorEastAsia" w:hAnsiTheme="minorEastAsia" w:eastAsiaTheme="minorEastAsia" w:cstheme="minorEastAsia"/>
                <w:b/>
                <w:bCs/>
                <w:color w:val="auto"/>
                <w:kern w:val="0"/>
                <w:sz w:val="18"/>
                <w:szCs w:val="18"/>
              </w:rPr>
              <w:t>监测指标</w:t>
            </w:r>
          </w:p>
        </w:tc>
        <w:tc>
          <w:tcPr>
            <w:tcW w:w="904" w:type="pct"/>
            <w:noWrap w:val="0"/>
            <w:vAlign w:val="center"/>
          </w:tcPr>
          <w:p w14:paraId="24D5EC67">
            <w:pPr>
              <w:autoSpaceDE w:val="0"/>
              <w:autoSpaceDN w:val="0"/>
              <w:adjustRightInd w:val="0"/>
              <w:spacing w:line="360" w:lineRule="auto"/>
              <w:jc w:val="center"/>
              <w:rPr>
                <w:rFonts w:hint="eastAsia" w:asciiTheme="minorEastAsia" w:hAnsiTheme="minorEastAsia" w:eastAsiaTheme="minorEastAsia" w:cstheme="minorEastAsia"/>
                <w:b/>
                <w:bCs/>
                <w:color w:val="auto"/>
                <w:kern w:val="0"/>
                <w:sz w:val="18"/>
                <w:szCs w:val="18"/>
              </w:rPr>
            </w:pPr>
            <w:r>
              <w:rPr>
                <w:rFonts w:hint="eastAsia" w:asciiTheme="minorEastAsia" w:hAnsiTheme="minorEastAsia" w:eastAsiaTheme="minorEastAsia" w:cstheme="minorEastAsia"/>
                <w:b/>
                <w:bCs/>
                <w:color w:val="auto"/>
                <w:kern w:val="0"/>
                <w:sz w:val="18"/>
                <w:szCs w:val="18"/>
              </w:rPr>
              <w:t>监测频次</w:t>
            </w:r>
          </w:p>
        </w:tc>
      </w:tr>
      <w:tr w14:paraId="642B3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73" w:type="pct"/>
            <w:noWrap w:val="0"/>
            <w:vAlign w:val="center"/>
          </w:tcPr>
          <w:p w14:paraId="5B460309">
            <w:pPr>
              <w:autoSpaceDE w:val="0"/>
              <w:autoSpaceDN w:val="0"/>
              <w:adjustRightInd w:val="0"/>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原煤筛分</w:t>
            </w:r>
          </w:p>
        </w:tc>
        <w:tc>
          <w:tcPr>
            <w:tcW w:w="894" w:type="pct"/>
            <w:noWrap w:val="0"/>
            <w:vAlign w:val="center"/>
          </w:tcPr>
          <w:p w14:paraId="77879DCA">
            <w:pPr>
              <w:autoSpaceDE w:val="0"/>
              <w:autoSpaceDN w:val="0"/>
              <w:adjustRightInd w:val="0"/>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spacing w:val="-3"/>
                <w:sz w:val="18"/>
                <w:szCs w:val="18"/>
              </w:rPr>
              <w:t>除尘装置排气筒</w:t>
            </w:r>
          </w:p>
        </w:tc>
        <w:tc>
          <w:tcPr>
            <w:tcW w:w="2126" w:type="pct"/>
            <w:noWrap w:val="0"/>
            <w:vAlign w:val="center"/>
          </w:tcPr>
          <w:p w14:paraId="7805A647">
            <w:pPr>
              <w:autoSpaceDE w:val="0"/>
              <w:autoSpaceDN w:val="0"/>
              <w:adjustRightInd w:val="0"/>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颗粒物</w:t>
            </w:r>
          </w:p>
        </w:tc>
        <w:tc>
          <w:tcPr>
            <w:tcW w:w="904" w:type="pct"/>
            <w:noWrap w:val="0"/>
            <w:vAlign w:val="center"/>
          </w:tcPr>
          <w:p w14:paraId="100A871E">
            <w:pPr>
              <w:autoSpaceDE w:val="0"/>
              <w:autoSpaceDN w:val="0"/>
              <w:adjustRightInd w:val="0"/>
              <w:jc w:val="center"/>
              <w:rPr>
                <w:rFonts w:hint="eastAsia" w:asciiTheme="minorEastAsia" w:hAnsiTheme="minorEastAsia" w:eastAsiaTheme="minorEastAsia" w:cstheme="minorEastAsia"/>
                <w:color w:val="auto"/>
                <w:kern w:val="0"/>
                <w:sz w:val="18"/>
                <w:szCs w:val="18"/>
                <w:lang w:eastAsia="zh-CN"/>
              </w:rPr>
            </w:pPr>
            <w:r>
              <w:rPr>
                <w:rFonts w:hint="eastAsia" w:asciiTheme="minorEastAsia" w:hAnsiTheme="minorEastAsia" w:eastAsiaTheme="minorEastAsia" w:cstheme="minorEastAsia"/>
                <w:color w:val="auto"/>
                <w:kern w:val="0"/>
                <w:sz w:val="18"/>
                <w:szCs w:val="18"/>
                <w:lang w:val="en-US" w:eastAsia="zh-CN"/>
              </w:rPr>
              <w:t>半年</w:t>
            </w:r>
          </w:p>
        </w:tc>
      </w:tr>
      <w:tr w14:paraId="17DC1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73" w:type="pct"/>
            <w:noWrap w:val="0"/>
            <w:vAlign w:val="center"/>
          </w:tcPr>
          <w:p w14:paraId="6421C1CF">
            <w:pPr>
              <w:autoSpaceDE w:val="0"/>
              <w:autoSpaceDN w:val="0"/>
              <w:adjustRightInd w:val="0"/>
              <w:ind w:firstLine="360" w:firstLineChars="200"/>
              <w:jc w:val="both"/>
              <w:rPr>
                <w:rFonts w:hint="eastAsia" w:asciiTheme="minorEastAsia" w:hAnsiTheme="minorEastAsia" w:eastAsiaTheme="minorEastAsia" w:cstheme="minorEastAsia"/>
                <w:color w:val="auto"/>
                <w:kern w:val="0"/>
                <w:sz w:val="18"/>
                <w:szCs w:val="18"/>
                <w:lang w:eastAsia="zh-CN"/>
              </w:rPr>
            </w:pPr>
            <w:r>
              <w:rPr>
                <w:rFonts w:hint="eastAsia" w:asciiTheme="minorEastAsia" w:hAnsiTheme="minorEastAsia" w:eastAsiaTheme="minorEastAsia" w:cstheme="minorEastAsia"/>
                <w:color w:val="auto"/>
                <w:kern w:val="0"/>
                <w:sz w:val="18"/>
                <w:szCs w:val="18"/>
                <w:lang w:val="en-US" w:eastAsia="zh-CN"/>
              </w:rPr>
              <w:t>炉顶贮煤仓</w:t>
            </w:r>
          </w:p>
        </w:tc>
        <w:tc>
          <w:tcPr>
            <w:tcW w:w="894" w:type="pct"/>
            <w:noWrap w:val="0"/>
            <w:vAlign w:val="center"/>
          </w:tcPr>
          <w:p w14:paraId="4175C071">
            <w:pPr>
              <w:autoSpaceDE w:val="0"/>
              <w:autoSpaceDN w:val="0"/>
              <w:adjustRightInd w:val="0"/>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spacing w:val="-3"/>
                <w:sz w:val="18"/>
                <w:szCs w:val="18"/>
              </w:rPr>
              <w:t>除尘装置排气筒</w:t>
            </w:r>
          </w:p>
        </w:tc>
        <w:tc>
          <w:tcPr>
            <w:tcW w:w="2126" w:type="pct"/>
            <w:noWrap w:val="0"/>
            <w:vAlign w:val="center"/>
          </w:tcPr>
          <w:p w14:paraId="61BC7748">
            <w:pPr>
              <w:autoSpaceDE w:val="0"/>
              <w:autoSpaceDN w:val="0"/>
              <w:adjustRightInd w:val="0"/>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颗粒物</w:t>
            </w:r>
          </w:p>
        </w:tc>
        <w:tc>
          <w:tcPr>
            <w:tcW w:w="904" w:type="pct"/>
            <w:noWrap w:val="0"/>
            <w:vAlign w:val="center"/>
          </w:tcPr>
          <w:p w14:paraId="4E0FD6A8">
            <w:pPr>
              <w:autoSpaceDE w:val="0"/>
              <w:autoSpaceDN w:val="0"/>
              <w:adjustRightInd w:val="0"/>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半年</w:t>
            </w:r>
          </w:p>
        </w:tc>
      </w:tr>
      <w:tr w14:paraId="219A3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73" w:type="pct"/>
            <w:noWrap w:val="0"/>
            <w:vAlign w:val="center"/>
          </w:tcPr>
          <w:p w14:paraId="70F75364">
            <w:pPr>
              <w:autoSpaceDE w:val="0"/>
              <w:autoSpaceDN w:val="0"/>
              <w:adjustRightInd w:val="0"/>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筛焦工段</w:t>
            </w:r>
          </w:p>
        </w:tc>
        <w:tc>
          <w:tcPr>
            <w:tcW w:w="894" w:type="pct"/>
            <w:noWrap w:val="0"/>
            <w:vAlign w:val="center"/>
          </w:tcPr>
          <w:p w14:paraId="7DAC5FF5">
            <w:pPr>
              <w:autoSpaceDE w:val="0"/>
              <w:autoSpaceDN w:val="0"/>
              <w:adjustRightInd w:val="0"/>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spacing w:val="-3"/>
                <w:sz w:val="18"/>
                <w:szCs w:val="18"/>
              </w:rPr>
              <w:t>除尘装置排气筒</w:t>
            </w:r>
          </w:p>
        </w:tc>
        <w:tc>
          <w:tcPr>
            <w:tcW w:w="2126" w:type="pct"/>
            <w:noWrap w:val="0"/>
            <w:vAlign w:val="center"/>
          </w:tcPr>
          <w:p w14:paraId="0A0C45D3">
            <w:pPr>
              <w:autoSpaceDE w:val="0"/>
              <w:autoSpaceDN w:val="0"/>
              <w:adjustRightInd w:val="0"/>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颗粒物</w:t>
            </w:r>
          </w:p>
        </w:tc>
        <w:tc>
          <w:tcPr>
            <w:tcW w:w="904" w:type="pct"/>
            <w:noWrap w:val="0"/>
            <w:vAlign w:val="center"/>
          </w:tcPr>
          <w:p w14:paraId="03A80E49">
            <w:pPr>
              <w:autoSpaceDE w:val="0"/>
              <w:autoSpaceDN w:val="0"/>
              <w:adjustRightInd w:val="0"/>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半年</w:t>
            </w:r>
          </w:p>
        </w:tc>
      </w:tr>
      <w:tr w14:paraId="4F0D8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trPr>
        <w:tc>
          <w:tcPr>
            <w:tcW w:w="1073" w:type="pct"/>
            <w:noWrap w:val="0"/>
            <w:vAlign w:val="center"/>
          </w:tcPr>
          <w:p w14:paraId="27C76057">
            <w:pPr>
              <w:autoSpaceDE w:val="0"/>
              <w:autoSpaceDN w:val="0"/>
              <w:adjustRightInd w:val="0"/>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脱硫再生塔</w:t>
            </w:r>
          </w:p>
        </w:tc>
        <w:tc>
          <w:tcPr>
            <w:tcW w:w="894" w:type="pct"/>
            <w:noWrap w:val="0"/>
            <w:vAlign w:val="center"/>
          </w:tcPr>
          <w:p w14:paraId="67907192">
            <w:pPr>
              <w:autoSpaceDE w:val="0"/>
              <w:autoSpaceDN w:val="0"/>
              <w:adjustRightInd w:val="0"/>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净化装置排气筒</w:t>
            </w:r>
          </w:p>
        </w:tc>
        <w:tc>
          <w:tcPr>
            <w:tcW w:w="2126" w:type="pct"/>
            <w:noWrap w:val="0"/>
            <w:vAlign w:val="center"/>
          </w:tcPr>
          <w:p w14:paraId="455DDC13">
            <w:pPr>
              <w:autoSpaceDE w:val="0"/>
              <w:autoSpaceDN w:val="0"/>
              <w:adjustRightInd w:val="0"/>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氨、硫化氢</w:t>
            </w:r>
          </w:p>
        </w:tc>
        <w:tc>
          <w:tcPr>
            <w:tcW w:w="904" w:type="pct"/>
            <w:noWrap w:val="0"/>
            <w:vAlign w:val="center"/>
          </w:tcPr>
          <w:p w14:paraId="7943D445">
            <w:pPr>
              <w:autoSpaceDE w:val="0"/>
              <w:autoSpaceDN w:val="0"/>
              <w:adjustRightInd w:val="0"/>
              <w:jc w:val="center"/>
              <w:rPr>
                <w:rFonts w:hint="eastAsia" w:asciiTheme="minorEastAsia" w:hAnsiTheme="minorEastAsia" w:eastAsiaTheme="minorEastAsia" w:cstheme="minorEastAsia"/>
                <w:color w:val="auto"/>
                <w:kern w:val="0"/>
                <w:sz w:val="18"/>
                <w:szCs w:val="18"/>
                <w:lang w:eastAsia="zh-CN"/>
              </w:rPr>
            </w:pPr>
            <w:r>
              <w:rPr>
                <w:rFonts w:hint="eastAsia" w:asciiTheme="minorEastAsia" w:hAnsiTheme="minorEastAsia" w:eastAsiaTheme="minorEastAsia" w:cstheme="minorEastAsia"/>
                <w:color w:val="auto"/>
                <w:kern w:val="0"/>
                <w:sz w:val="18"/>
                <w:szCs w:val="18"/>
                <w:lang w:val="en-US" w:eastAsia="zh-CN"/>
              </w:rPr>
              <w:t>季度</w:t>
            </w:r>
          </w:p>
        </w:tc>
      </w:tr>
      <w:tr w14:paraId="4A5BE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73" w:type="pct"/>
            <w:noWrap w:val="0"/>
            <w:vAlign w:val="center"/>
          </w:tcPr>
          <w:p w14:paraId="50C67EB0">
            <w:pPr>
              <w:autoSpaceDE w:val="0"/>
              <w:autoSpaceDN w:val="0"/>
              <w:adjustRightInd w:val="0"/>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rPr>
              <w:t>硫胺结晶干燥</w:t>
            </w:r>
            <w:r>
              <w:rPr>
                <w:rFonts w:hint="eastAsia" w:asciiTheme="minorEastAsia" w:hAnsiTheme="minorEastAsia" w:eastAsiaTheme="minorEastAsia" w:cstheme="minorEastAsia"/>
                <w:color w:val="auto"/>
                <w:kern w:val="0"/>
                <w:sz w:val="18"/>
                <w:szCs w:val="18"/>
                <w:lang w:val="en-US" w:eastAsia="zh-CN"/>
              </w:rPr>
              <w:t>装置</w:t>
            </w:r>
          </w:p>
        </w:tc>
        <w:tc>
          <w:tcPr>
            <w:tcW w:w="894" w:type="pct"/>
            <w:noWrap w:val="0"/>
            <w:vAlign w:val="center"/>
          </w:tcPr>
          <w:p w14:paraId="665197AD">
            <w:pPr>
              <w:autoSpaceDE w:val="0"/>
              <w:autoSpaceDN w:val="0"/>
              <w:adjustRightInd w:val="0"/>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装置排气筒</w:t>
            </w:r>
          </w:p>
        </w:tc>
        <w:tc>
          <w:tcPr>
            <w:tcW w:w="2126" w:type="pct"/>
            <w:noWrap w:val="0"/>
            <w:vAlign w:val="center"/>
          </w:tcPr>
          <w:p w14:paraId="53B1A92C">
            <w:pPr>
              <w:autoSpaceDE w:val="0"/>
              <w:autoSpaceDN w:val="0"/>
              <w:adjustRightInd w:val="0"/>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氨、颗粒物</w:t>
            </w:r>
          </w:p>
        </w:tc>
        <w:tc>
          <w:tcPr>
            <w:tcW w:w="904" w:type="pct"/>
            <w:noWrap w:val="0"/>
            <w:vAlign w:val="center"/>
          </w:tcPr>
          <w:p w14:paraId="56ADBF84">
            <w:pPr>
              <w:autoSpaceDE w:val="0"/>
              <w:autoSpaceDN w:val="0"/>
              <w:adjustRightInd w:val="0"/>
              <w:jc w:val="center"/>
              <w:rPr>
                <w:rFonts w:hint="eastAsia" w:asciiTheme="minorEastAsia" w:hAnsiTheme="minorEastAsia" w:eastAsiaTheme="minorEastAsia" w:cstheme="minorEastAsia"/>
                <w:color w:val="auto"/>
                <w:kern w:val="0"/>
                <w:sz w:val="18"/>
                <w:szCs w:val="18"/>
                <w:lang w:eastAsia="zh-CN"/>
              </w:rPr>
            </w:pPr>
            <w:r>
              <w:rPr>
                <w:rFonts w:hint="eastAsia" w:asciiTheme="minorEastAsia" w:hAnsiTheme="minorEastAsia" w:eastAsiaTheme="minorEastAsia" w:cstheme="minorEastAsia"/>
                <w:color w:val="auto"/>
                <w:kern w:val="0"/>
                <w:sz w:val="18"/>
                <w:szCs w:val="18"/>
                <w:lang w:val="en-US" w:eastAsia="zh-CN"/>
              </w:rPr>
              <w:t>季度</w:t>
            </w:r>
          </w:p>
        </w:tc>
      </w:tr>
      <w:tr w14:paraId="36E18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73" w:type="pct"/>
            <w:noWrap w:val="0"/>
            <w:vAlign w:val="center"/>
          </w:tcPr>
          <w:p w14:paraId="116F1AD9">
            <w:pPr>
              <w:autoSpaceDE w:val="0"/>
              <w:autoSpaceDN w:val="0"/>
              <w:adjustRightInd w:val="0"/>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加热炉</w:t>
            </w:r>
          </w:p>
        </w:tc>
        <w:tc>
          <w:tcPr>
            <w:tcW w:w="894" w:type="pct"/>
            <w:noWrap w:val="0"/>
            <w:vAlign w:val="center"/>
          </w:tcPr>
          <w:p w14:paraId="4DD87FE2">
            <w:pPr>
              <w:autoSpaceDE w:val="0"/>
              <w:autoSpaceDN w:val="0"/>
              <w:adjustRightInd w:val="0"/>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装置排气筒</w:t>
            </w:r>
          </w:p>
        </w:tc>
        <w:tc>
          <w:tcPr>
            <w:tcW w:w="2126" w:type="pct"/>
            <w:noWrap w:val="0"/>
            <w:vAlign w:val="center"/>
          </w:tcPr>
          <w:p w14:paraId="2C79DCD1">
            <w:pPr>
              <w:autoSpaceDE w:val="0"/>
              <w:autoSpaceDN w:val="0"/>
              <w:adjustRightInd w:val="0"/>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颗粒物、二氧化硫、氮氧化物</w:t>
            </w:r>
          </w:p>
        </w:tc>
        <w:tc>
          <w:tcPr>
            <w:tcW w:w="904" w:type="pct"/>
            <w:noWrap w:val="0"/>
            <w:vAlign w:val="center"/>
          </w:tcPr>
          <w:p w14:paraId="4365A1B3">
            <w:pPr>
              <w:autoSpaceDE w:val="0"/>
              <w:autoSpaceDN w:val="0"/>
              <w:adjustRightInd w:val="0"/>
              <w:jc w:val="center"/>
              <w:rPr>
                <w:rFonts w:hint="eastAsia" w:asciiTheme="minorEastAsia" w:hAnsiTheme="minorEastAsia" w:eastAsiaTheme="minorEastAsia" w:cstheme="minorEastAsia"/>
                <w:color w:val="auto"/>
                <w:kern w:val="0"/>
                <w:sz w:val="18"/>
                <w:szCs w:val="18"/>
                <w:lang w:eastAsia="zh-CN"/>
              </w:rPr>
            </w:pPr>
            <w:r>
              <w:rPr>
                <w:rFonts w:hint="eastAsia" w:asciiTheme="minorEastAsia" w:hAnsiTheme="minorEastAsia" w:eastAsiaTheme="minorEastAsia" w:cstheme="minorEastAsia"/>
                <w:color w:val="auto"/>
                <w:kern w:val="0"/>
                <w:sz w:val="18"/>
                <w:szCs w:val="18"/>
                <w:lang w:val="en-US" w:eastAsia="zh-CN"/>
              </w:rPr>
              <w:t>季度</w:t>
            </w:r>
          </w:p>
        </w:tc>
      </w:tr>
      <w:tr w14:paraId="2D679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73" w:type="pct"/>
            <w:noWrap w:val="0"/>
            <w:vAlign w:val="center"/>
          </w:tcPr>
          <w:p w14:paraId="6165A524">
            <w:pPr>
              <w:autoSpaceDE w:val="0"/>
              <w:autoSpaceDN w:val="0"/>
              <w:adjustRightInd w:val="0"/>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废水焚烧炉</w:t>
            </w:r>
          </w:p>
        </w:tc>
        <w:tc>
          <w:tcPr>
            <w:tcW w:w="894" w:type="pct"/>
            <w:noWrap w:val="0"/>
            <w:vAlign w:val="center"/>
          </w:tcPr>
          <w:p w14:paraId="0DC12A81">
            <w:pPr>
              <w:autoSpaceDE w:val="0"/>
              <w:autoSpaceDN w:val="0"/>
              <w:adjustRightInd w:val="0"/>
              <w:jc w:val="center"/>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装置排气筒</w:t>
            </w:r>
          </w:p>
        </w:tc>
        <w:tc>
          <w:tcPr>
            <w:tcW w:w="2126" w:type="pct"/>
            <w:noWrap w:val="0"/>
            <w:vAlign w:val="center"/>
          </w:tcPr>
          <w:p w14:paraId="65D557AD">
            <w:pPr>
              <w:autoSpaceDE w:val="0"/>
              <w:autoSpaceDN w:val="0"/>
              <w:adjustRightInd w:val="0"/>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rPr>
              <w:t>颗粒物、二氧化硫、氮氧化物</w:t>
            </w:r>
            <w:r>
              <w:rPr>
                <w:rFonts w:hint="eastAsia" w:asciiTheme="minorEastAsia" w:hAnsiTheme="minorEastAsia" w:eastAsiaTheme="minorEastAsia" w:cstheme="minorEastAsia"/>
                <w:color w:val="auto"/>
                <w:kern w:val="0"/>
                <w:sz w:val="18"/>
                <w:szCs w:val="18"/>
                <w:lang w:eastAsia="zh-CN"/>
              </w:rPr>
              <w:t>、</w:t>
            </w:r>
            <w:r>
              <w:rPr>
                <w:rFonts w:hint="eastAsia" w:asciiTheme="minorEastAsia" w:hAnsiTheme="minorEastAsia" w:eastAsiaTheme="minorEastAsia" w:cstheme="minorEastAsia"/>
                <w:color w:val="auto"/>
                <w:kern w:val="0"/>
                <w:sz w:val="18"/>
                <w:szCs w:val="18"/>
                <w:lang w:val="en-US" w:eastAsia="zh-CN"/>
              </w:rPr>
              <w:t>非甲烷总烃</w:t>
            </w:r>
          </w:p>
        </w:tc>
        <w:tc>
          <w:tcPr>
            <w:tcW w:w="904" w:type="pct"/>
            <w:noWrap w:val="0"/>
            <w:vAlign w:val="center"/>
          </w:tcPr>
          <w:p w14:paraId="5ED2275A">
            <w:pPr>
              <w:autoSpaceDE w:val="0"/>
              <w:autoSpaceDN w:val="0"/>
              <w:adjustRightInd w:val="0"/>
              <w:jc w:val="center"/>
              <w:rPr>
                <w:rFonts w:hint="eastAsia" w:asciiTheme="minorEastAsia" w:hAnsiTheme="minorEastAsia" w:eastAsiaTheme="minorEastAsia" w:cstheme="minorEastAsia"/>
                <w:color w:val="auto"/>
                <w:kern w:val="0"/>
                <w:sz w:val="18"/>
                <w:szCs w:val="18"/>
                <w:lang w:eastAsia="zh-CN"/>
              </w:rPr>
            </w:pPr>
            <w:r>
              <w:rPr>
                <w:rFonts w:hint="eastAsia" w:asciiTheme="minorEastAsia" w:hAnsiTheme="minorEastAsia" w:eastAsiaTheme="minorEastAsia" w:cstheme="minorEastAsia"/>
                <w:color w:val="auto"/>
                <w:kern w:val="0"/>
                <w:sz w:val="18"/>
                <w:szCs w:val="18"/>
                <w:lang w:val="en-US" w:eastAsia="zh-CN"/>
              </w:rPr>
              <w:t>季度</w:t>
            </w:r>
          </w:p>
        </w:tc>
      </w:tr>
      <w:tr w14:paraId="2B2C7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73" w:type="pct"/>
            <w:noWrap w:val="0"/>
            <w:vAlign w:val="center"/>
          </w:tcPr>
          <w:p w14:paraId="0E94AA2F">
            <w:pPr>
              <w:autoSpaceDE w:val="0"/>
              <w:autoSpaceDN w:val="0"/>
              <w:adjustRightInd w:val="0"/>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VOC处理设施</w:t>
            </w:r>
          </w:p>
        </w:tc>
        <w:tc>
          <w:tcPr>
            <w:tcW w:w="894" w:type="pct"/>
            <w:noWrap w:val="0"/>
            <w:vAlign w:val="center"/>
          </w:tcPr>
          <w:p w14:paraId="66283A4C">
            <w:pPr>
              <w:autoSpaceDE w:val="0"/>
              <w:autoSpaceDN w:val="0"/>
              <w:adjustRightInd w:val="0"/>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处理设施排气筒</w:t>
            </w:r>
          </w:p>
        </w:tc>
        <w:tc>
          <w:tcPr>
            <w:tcW w:w="2126" w:type="pct"/>
            <w:noWrap w:val="0"/>
            <w:vAlign w:val="center"/>
          </w:tcPr>
          <w:p w14:paraId="506D6A3C">
            <w:pPr>
              <w:autoSpaceDE w:val="0"/>
              <w:autoSpaceDN w:val="0"/>
              <w:adjustRightInd w:val="0"/>
              <w:jc w:val="center"/>
              <w:rPr>
                <w:rFonts w:hint="eastAsia" w:asciiTheme="minorEastAsia" w:hAnsiTheme="minorEastAsia" w:eastAsiaTheme="minorEastAsia" w:cstheme="minorEastAsia"/>
                <w:color w:val="auto"/>
                <w:kern w:val="0"/>
                <w:sz w:val="18"/>
                <w:szCs w:val="18"/>
                <w:lang w:val="en-US" w:eastAsia="zh-CN"/>
              </w:rPr>
            </w:pPr>
            <w:r>
              <w:rPr>
                <w:rFonts w:hint="eastAsia" w:asciiTheme="minorEastAsia" w:hAnsiTheme="minorEastAsia" w:eastAsiaTheme="minorEastAsia" w:cstheme="minorEastAsia"/>
                <w:color w:val="auto"/>
                <w:kern w:val="0"/>
                <w:sz w:val="18"/>
                <w:szCs w:val="18"/>
                <w:lang w:val="en-US" w:eastAsia="zh-CN"/>
              </w:rPr>
              <w:t>颗粒物、硫化氢、氨、氰化物、</w:t>
            </w:r>
            <w:r>
              <w:rPr>
                <w:rFonts w:hint="eastAsia" w:asciiTheme="minorEastAsia" w:hAnsiTheme="minorEastAsia" w:eastAsiaTheme="minorEastAsia" w:cstheme="minorEastAsia"/>
                <w:color w:val="auto"/>
                <w:kern w:val="0"/>
                <w:sz w:val="18"/>
                <w:szCs w:val="18"/>
              </w:rPr>
              <w:t>酚类</w:t>
            </w:r>
            <w:r>
              <w:rPr>
                <w:rFonts w:hint="eastAsia" w:asciiTheme="minorEastAsia" w:hAnsiTheme="minorEastAsia" w:eastAsiaTheme="minorEastAsia" w:cstheme="minorEastAsia"/>
                <w:color w:val="auto"/>
                <w:kern w:val="0"/>
                <w:sz w:val="18"/>
                <w:szCs w:val="18"/>
                <w:lang w:eastAsia="zh-CN"/>
              </w:rPr>
              <w:t>、</w:t>
            </w:r>
            <w:r>
              <w:rPr>
                <w:rFonts w:hint="eastAsia" w:ascii="宋体" w:hAnsi="宋体" w:eastAsia="宋体" w:cs="宋体"/>
                <w:color w:val="auto"/>
                <w:kern w:val="0"/>
                <w:sz w:val="18"/>
                <w:szCs w:val="18"/>
                <w:lang w:val="en-US" w:eastAsia="zh-CN"/>
              </w:rPr>
              <w:t>苯并[α]</w:t>
            </w:r>
            <w:r>
              <w:rPr>
                <w:rFonts w:hint="eastAsia" w:ascii="宋体" w:hAnsi="宋体" w:eastAsia="宋体" w:cs="宋体"/>
                <w:color w:val="auto"/>
                <w:kern w:val="0"/>
                <w:sz w:val="18"/>
                <w:szCs w:val="18"/>
              </w:rPr>
              <w:t>芘</w:t>
            </w:r>
            <w:r>
              <w:rPr>
                <w:rFonts w:hint="eastAsia" w:asciiTheme="minorEastAsia" w:hAnsiTheme="minorEastAsia" w:eastAsiaTheme="minorEastAsia" w:cstheme="minorEastAsia"/>
                <w:color w:val="auto"/>
                <w:kern w:val="0"/>
                <w:sz w:val="18"/>
                <w:szCs w:val="18"/>
                <w:lang w:eastAsia="zh-CN"/>
              </w:rPr>
              <w:t>、</w:t>
            </w:r>
            <w:r>
              <w:rPr>
                <w:rFonts w:hint="eastAsia" w:asciiTheme="minorEastAsia" w:hAnsiTheme="minorEastAsia" w:eastAsiaTheme="minorEastAsia" w:cstheme="minorEastAsia"/>
                <w:color w:val="auto"/>
                <w:kern w:val="0"/>
                <w:sz w:val="18"/>
                <w:szCs w:val="18"/>
                <w:lang w:val="en-US" w:eastAsia="zh-CN"/>
              </w:rPr>
              <w:t>非甲烷总烃</w:t>
            </w:r>
          </w:p>
        </w:tc>
        <w:tc>
          <w:tcPr>
            <w:tcW w:w="904" w:type="pct"/>
            <w:noWrap w:val="0"/>
            <w:vAlign w:val="center"/>
          </w:tcPr>
          <w:p w14:paraId="4AA7F936">
            <w:pPr>
              <w:autoSpaceDE w:val="0"/>
              <w:autoSpaceDN w:val="0"/>
              <w:adjustRightInd w:val="0"/>
              <w:jc w:val="center"/>
              <w:rPr>
                <w:rFonts w:hint="eastAsia" w:asciiTheme="minorEastAsia" w:hAnsiTheme="minorEastAsia" w:eastAsiaTheme="minorEastAsia" w:cstheme="minorEastAsia"/>
                <w:color w:val="auto"/>
                <w:kern w:val="0"/>
                <w:sz w:val="18"/>
                <w:szCs w:val="18"/>
                <w:lang w:eastAsia="zh-CN"/>
              </w:rPr>
            </w:pPr>
            <w:r>
              <w:rPr>
                <w:rFonts w:hint="eastAsia" w:asciiTheme="minorEastAsia" w:hAnsiTheme="minorEastAsia" w:eastAsiaTheme="minorEastAsia" w:cstheme="minorEastAsia"/>
                <w:color w:val="auto"/>
                <w:kern w:val="0"/>
                <w:sz w:val="18"/>
                <w:szCs w:val="18"/>
                <w:lang w:val="en-US" w:eastAsia="zh-CN"/>
              </w:rPr>
              <w:t>季度</w:t>
            </w:r>
          </w:p>
        </w:tc>
      </w:tr>
      <w:tr w14:paraId="1AC33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5000" w:type="pct"/>
            <w:gridSpan w:val="4"/>
            <w:noWrap w:val="0"/>
            <w:vAlign w:val="center"/>
          </w:tcPr>
          <w:p w14:paraId="14ED7100">
            <w:pPr>
              <w:autoSpaceDE w:val="0"/>
              <w:autoSpaceDN w:val="0"/>
              <w:adjustRightInd w:val="0"/>
              <w:jc w:val="both"/>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注1：设区的市级及以上及以上生态环境主管部门明确要求安装自动监测设备的污染物指标，须采取自动监测。</w:t>
            </w:r>
          </w:p>
          <w:p w14:paraId="2157F255">
            <w:pPr>
              <w:autoSpaceDE w:val="0"/>
              <w:autoSpaceDN w:val="0"/>
              <w:adjustRightInd w:val="0"/>
              <w:jc w:val="both"/>
              <w:rPr>
                <w:rFonts w:hint="eastAsia" w:asciiTheme="minorEastAsia" w:hAnsiTheme="minorEastAsia" w:eastAsiaTheme="minorEastAsia" w:cstheme="minorEastAsia"/>
                <w:color w:val="auto"/>
                <w:kern w:val="0"/>
                <w:sz w:val="18"/>
                <w:szCs w:val="18"/>
              </w:rPr>
            </w:pPr>
            <w:r>
              <w:rPr>
                <w:rFonts w:hint="eastAsia" w:asciiTheme="minorEastAsia" w:hAnsiTheme="minorEastAsia" w:eastAsiaTheme="minorEastAsia" w:cstheme="minorEastAsia"/>
                <w:color w:val="auto"/>
                <w:kern w:val="0"/>
                <w:sz w:val="18"/>
                <w:szCs w:val="18"/>
              </w:rPr>
              <w:t>注2：废气监测须按照相应标准分析方法、技术规范同步监测烟气参数。</w:t>
            </w:r>
          </w:p>
        </w:tc>
      </w:tr>
    </w:tbl>
    <w:p w14:paraId="388B880F">
      <w:pPr>
        <w:pStyle w:val="23"/>
        <w:spacing w:before="319" w:beforeLines="100" w:after="319" w:afterLines="100"/>
        <w:ind w:left="0" w:leftChars="0" w:firstLineChars="0"/>
        <w:outlineLvl w:val="0"/>
        <w:rPr>
          <w:rFonts w:hint="eastAsia" w:ascii="黑体" w:hAnsi="Times New Roman" w:eastAsia="黑体" w:cs="Times New Roman"/>
          <w:snapToGrid/>
          <w:color w:val="000000"/>
          <w:spacing w:val="0"/>
          <w:kern w:val="0"/>
          <w:sz w:val="21"/>
          <w:szCs w:val="21"/>
          <w:lang w:val="en-US" w:eastAsia="en-US" w:bidi="ar-SA"/>
        </w:rPr>
      </w:pPr>
      <w:r>
        <w:rPr>
          <w:rFonts w:hint="eastAsia" w:ascii="黑体" w:hAnsi="Times New Roman" w:eastAsia="黑体" w:cs="Times New Roman"/>
          <w:snapToGrid/>
          <w:color w:val="000000"/>
          <w:spacing w:val="0"/>
          <w:kern w:val="0"/>
          <w:sz w:val="21"/>
          <w:szCs w:val="21"/>
          <w:lang w:val="en-US" w:eastAsia="en-US" w:bidi="ar-SA"/>
        </w:rPr>
        <w:t>无组织废气排放监测</w:t>
      </w:r>
    </w:p>
    <w:p w14:paraId="48504A78">
      <w:pPr>
        <w:pStyle w:val="13"/>
        <w:keepNext w:val="0"/>
        <w:keepLines w:val="0"/>
        <w:pageBreakBefore w:val="0"/>
        <w:widowControl/>
        <w:kinsoku/>
        <w:wordWrap/>
        <w:overflowPunct/>
        <w:topLinePunct w:val="0"/>
        <w:autoSpaceDE/>
        <w:autoSpaceDN/>
        <w:bidi w:val="0"/>
        <w:adjustRightInd/>
        <w:snapToGrid/>
        <w:spacing w:before="283" w:line="423" w:lineRule="auto"/>
        <w:textAlignment w:val="auto"/>
        <w:rPr>
          <w:rFonts w:hint="default" w:ascii="宋体" w:hAnsi="Times New Roman" w:eastAsia="宋体" w:cs="Times New Roman"/>
          <w:snapToGrid/>
          <w:color w:val="000000"/>
          <w:spacing w:val="0"/>
          <w:kern w:val="0"/>
          <w:sz w:val="21"/>
          <w:szCs w:val="20"/>
          <w:lang w:eastAsia="en-US"/>
        </w:rPr>
      </w:pPr>
      <w:r>
        <w:rPr>
          <w:rFonts w:hint="default" w:ascii="宋体" w:hAnsi="Times New Roman" w:eastAsia="宋体" w:cs="Times New Roman"/>
          <w:snapToGrid/>
          <w:color w:val="000000"/>
          <w:spacing w:val="0"/>
          <w:kern w:val="0"/>
          <w:sz w:val="21"/>
          <w:szCs w:val="20"/>
          <w:lang w:eastAsia="en-US"/>
        </w:rPr>
        <w:t>排污单位无组织废气排放监测点位设置应遵循HJ</w:t>
      </w:r>
      <w:r>
        <w:rPr>
          <w:rFonts w:hint="eastAsia" w:cs="Times New Roman"/>
          <w:snapToGrid/>
          <w:spacing w:val="0"/>
          <w:kern w:val="0"/>
          <w:sz w:val="21"/>
          <w:szCs w:val="20"/>
          <w:lang w:val="en-US" w:eastAsia="zh-CN"/>
        </w:rPr>
        <w:t xml:space="preserve"> </w:t>
      </w:r>
      <w:r>
        <w:rPr>
          <w:rFonts w:hint="default" w:ascii="宋体" w:hAnsi="Times New Roman" w:eastAsia="宋体" w:cs="Times New Roman"/>
          <w:snapToGrid/>
          <w:color w:val="000000"/>
          <w:spacing w:val="0"/>
          <w:kern w:val="0"/>
          <w:sz w:val="21"/>
          <w:szCs w:val="20"/>
          <w:lang w:eastAsia="en-US"/>
        </w:rPr>
        <w:t>819中的原则，其排放监测点位、监测指标及最低监测频次按表</w:t>
      </w:r>
      <w:r>
        <w:rPr>
          <w:rFonts w:hint="default" w:ascii="宋体" w:hAnsi="Times New Roman" w:eastAsia="宋体" w:cs="Times New Roman"/>
          <w:snapToGrid/>
          <w:color w:val="000000"/>
          <w:kern w:val="0"/>
          <w:sz w:val="21"/>
          <w:szCs w:val="20"/>
          <w:lang w:val="en-US" w:eastAsia="en-US" w:bidi="ar-SA"/>
        </w:rPr>
        <w:t>2</w:t>
      </w:r>
      <w:r>
        <w:rPr>
          <w:rFonts w:hint="default" w:ascii="宋体" w:hAnsi="Times New Roman" w:eastAsia="宋体" w:cs="Times New Roman"/>
          <w:snapToGrid/>
          <w:color w:val="000000"/>
          <w:spacing w:val="0"/>
          <w:kern w:val="0"/>
          <w:sz w:val="21"/>
          <w:szCs w:val="20"/>
          <w:lang w:eastAsia="en-US"/>
        </w:rPr>
        <w:t>执行。</w:t>
      </w:r>
    </w:p>
    <w:p w14:paraId="7D2DF049">
      <w:pPr>
        <w:pStyle w:val="20"/>
        <w:keepNext w:val="0"/>
        <w:keepLines w:val="0"/>
        <w:pageBreakBefore w:val="0"/>
        <w:widowControl w:val="0"/>
        <w:kinsoku/>
        <w:wordWrap/>
        <w:overflowPunct/>
        <w:topLinePunct w:val="0"/>
        <w:autoSpaceDE/>
        <w:autoSpaceDN/>
        <w:bidi w:val="0"/>
        <w:adjustRightInd/>
        <w:snapToGrid/>
        <w:spacing w:line="423" w:lineRule="auto"/>
        <w:ind w:left="6093" w:hanging="6093" w:hangingChars="2745"/>
        <w:textAlignment w:val="auto"/>
        <w:rPr>
          <w:rFonts w:hint="eastAsia" w:ascii="黑体" w:hAnsi="黑体" w:eastAsia="黑体" w:cs="黑体"/>
          <w:snapToGrid w:val="0"/>
          <w:color w:val="000000"/>
          <w:spacing w:val="6"/>
          <w:kern w:val="0"/>
          <w:sz w:val="21"/>
          <w:szCs w:val="21"/>
          <w:lang w:val="en-US" w:eastAsia="zh" w:bidi="ar-SA"/>
        </w:rPr>
      </w:pPr>
      <w:r>
        <w:rPr>
          <w:rFonts w:hint="eastAsia" w:ascii="黑体" w:hAnsi="黑体" w:eastAsia="黑体" w:cs="黑体"/>
          <w:snapToGrid w:val="0"/>
          <w:color w:val="000000"/>
          <w:spacing w:val="6"/>
          <w:kern w:val="0"/>
          <w:sz w:val="21"/>
          <w:szCs w:val="21"/>
          <w:lang w:val="en-US" w:eastAsia="zh" w:bidi="ar-SA"/>
        </w:rPr>
        <w:t>无组织废气监测点位、监测指标及最低监测频次</w:t>
      </w:r>
    </w:p>
    <w:tbl>
      <w:tblPr>
        <w:tblStyle w:val="8"/>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3"/>
        <w:gridCol w:w="5164"/>
        <w:gridCol w:w="1905"/>
      </w:tblGrid>
      <w:tr w14:paraId="2F719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1192" w:type="pct"/>
            <w:noWrap w:val="0"/>
            <w:vAlign w:val="center"/>
          </w:tcPr>
          <w:p w14:paraId="325D9E44">
            <w:pPr>
              <w:autoSpaceDE w:val="0"/>
              <w:autoSpaceDN w:val="0"/>
              <w:adjustRightInd w:val="0"/>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监测点位</w:t>
            </w:r>
          </w:p>
        </w:tc>
        <w:tc>
          <w:tcPr>
            <w:tcW w:w="2781" w:type="pct"/>
            <w:noWrap w:val="0"/>
            <w:vAlign w:val="center"/>
          </w:tcPr>
          <w:p w14:paraId="0F22589A">
            <w:pPr>
              <w:autoSpaceDE w:val="0"/>
              <w:autoSpaceDN w:val="0"/>
              <w:adjustRightInd w:val="0"/>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监测指标</w:t>
            </w:r>
          </w:p>
        </w:tc>
        <w:tc>
          <w:tcPr>
            <w:tcW w:w="1026" w:type="pct"/>
            <w:noWrap w:val="0"/>
            <w:vAlign w:val="center"/>
          </w:tcPr>
          <w:p w14:paraId="5AE26438">
            <w:pPr>
              <w:autoSpaceDE w:val="0"/>
              <w:autoSpaceDN w:val="0"/>
              <w:adjustRightInd w:val="0"/>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监测频次</w:t>
            </w:r>
          </w:p>
        </w:tc>
      </w:tr>
      <w:tr w14:paraId="63869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92" w:type="pct"/>
            <w:noWrap w:val="0"/>
            <w:vAlign w:val="center"/>
          </w:tcPr>
          <w:p w14:paraId="794D9AB7">
            <w:pPr>
              <w:autoSpaceDE w:val="0"/>
              <w:autoSpaceDN w:val="0"/>
              <w:adjustRightInd w:val="0"/>
              <w:jc w:val="center"/>
              <w:rPr>
                <w:rFonts w:hint="eastAsia" w:ascii="宋体" w:hAnsi="宋体" w:eastAsia="宋体" w:cs="宋体"/>
                <w:color w:val="auto"/>
                <w:kern w:val="0"/>
                <w:sz w:val="18"/>
                <w:szCs w:val="18"/>
                <w:lang w:eastAsia="zh"/>
              </w:rPr>
            </w:pPr>
            <w:r>
              <w:rPr>
                <w:rFonts w:hint="eastAsia" w:ascii="宋体" w:hAnsi="宋体" w:eastAsia="宋体" w:cs="宋体"/>
                <w:color w:val="auto"/>
                <w:kern w:val="0"/>
                <w:sz w:val="18"/>
                <w:szCs w:val="18"/>
                <w:lang w:val="en-US" w:eastAsia="zh"/>
              </w:rPr>
              <w:t>炭化炉炉顶</w:t>
            </w:r>
          </w:p>
        </w:tc>
        <w:tc>
          <w:tcPr>
            <w:tcW w:w="2781" w:type="pct"/>
            <w:noWrap w:val="0"/>
            <w:vAlign w:val="center"/>
          </w:tcPr>
          <w:p w14:paraId="6E347C4A">
            <w:pPr>
              <w:autoSpaceDE w:val="0"/>
              <w:autoSpaceDN w:val="0"/>
              <w:adjustRightInd w:val="0"/>
              <w:jc w:val="center"/>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rPr>
              <w:t>氨、硫化氢、苯并[a]芘</w:t>
            </w:r>
            <w:r>
              <w:rPr>
                <w:rFonts w:hint="eastAsia" w:ascii="宋体" w:hAnsi="宋体" w:eastAsia="宋体" w:cs="宋体"/>
                <w:color w:val="auto"/>
                <w:kern w:val="0"/>
                <w:sz w:val="18"/>
                <w:szCs w:val="18"/>
                <w:lang w:eastAsia="zh-CN"/>
              </w:rPr>
              <w:t>、</w:t>
            </w:r>
            <w:r>
              <w:rPr>
                <w:rFonts w:hint="eastAsia" w:ascii="宋体" w:hAnsi="宋体" w:eastAsia="宋体" w:cs="宋体"/>
                <w:color w:val="auto"/>
                <w:kern w:val="0"/>
                <w:sz w:val="18"/>
                <w:szCs w:val="18"/>
                <w:lang w:val="en-US" w:eastAsia="zh-CN"/>
              </w:rPr>
              <w:t>非甲烷总烃</w:t>
            </w:r>
          </w:p>
        </w:tc>
        <w:tc>
          <w:tcPr>
            <w:tcW w:w="1026" w:type="pct"/>
            <w:noWrap w:val="0"/>
            <w:vAlign w:val="center"/>
          </w:tcPr>
          <w:p w14:paraId="28D6EAAE">
            <w:pPr>
              <w:autoSpaceDE w:val="0"/>
              <w:autoSpaceDN w:val="0"/>
              <w:adjustRightInd w:val="0"/>
              <w:jc w:val="center"/>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lang w:val="en-US" w:eastAsia="zh-CN"/>
              </w:rPr>
              <w:t>半年</w:t>
            </w:r>
          </w:p>
        </w:tc>
      </w:tr>
      <w:tr w14:paraId="2C26A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92" w:type="pct"/>
            <w:noWrap w:val="0"/>
            <w:vAlign w:val="center"/>
          </w:tcPr>
          <w:p w14:paraId="6B3F8588">
            <w:pPr>
              <w:autoSpaceDE w:val="0"/>
              <w:autoSpaceDN w:val="0"/>
              <w:adjustRightInd w:val="0"/>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厂界监测</w:t>
            </w:r>
          </w:p>
        </w:tc>
        <w:tc>
          <w:tcPr>
            <w:tcW w:w="2781" w:type="pct"/>
            <w:noWrap w:val="0"/>
            <w:vAlign w:val="center"/>
          </w:tcPr>
          <w:p w14:paraId="45FF2FFD">
            <w:pPr>
              <w:autoSpaceDE w:val="0"/>
              <w:autoSpaceDN w:val="0"/>
              <w:adjustRightInd w:val="0"/>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颗粒物、氨、硫化氢、苯并[a]芘、二氧化硫、氮氧化物、氰化氢、酚类化合物、</w:t>
            </w:r>
            <w:r>
              <w:rPr>
                <w:rFonts w:hint="eastAsia" w:ascii="宋体" w:hAnsi="宋体" w:eastAsia="宋体" w:cs="宋体"/>
                <w:color w:val="auto"/>
                <w:kern w:val="0"/>
                <w:sz w:val="18"/>
                <w:szCs w:val="18"/>
                <w:lang w:val="en-US" w:eastAsia="zh-CN"/>
              </w:rPr>
              <w:t>非甲烷总烃</w:t>
            </w:r>
          </w:p>
        </w:tc>
        <w:tc>
          <w:tcPr>
            <w:tcW w:w="1026" w:type="pct"/>
            <w:noWrap w:val="0"/>
            <w:vAlign w:val="center"/>
          </w:tcPr>
          <w:p w14:paraId="6A09DC59">
            <w:pPr>
              <w:autoSpaceDE w:val="0"/>
              <w:autoSpaceDN w:val="0"/>
              <w:adjustRightInd w:val="0"/>
              <w:jc w:val="center"/>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lang w:val="en-US" w:eastAsia="zh-CN"/>
              </w:rPr>
              <w:t>半年</w:t>
            </w:r>
          </w:p>
        </w:tc>
      </w:tr>
    </w:tbl>
    <w:p w14:paraId="7A2A537B">
      <w:pPr>
        <w:pStyle w:val="21"/>
        <w:spacing w:before="319" w:beforeLines="100" w:after="319" w:afterLines="100"/>
        <w:ind w:left="0" w:leftChars="0" w:firstLineChars="0"/>
        <w:outlineLvl w:val="0"/>
        <w:rPr>
          <w:rFonts w:hint="eastAsia"/>
          <w:lang w:val="en-US" w:eastAsia="en-US"/>
        </w:rPr>
      </w:pPr>
      <w:r>
        <w:rPr>
          <w:rFonts w:hint="eastAsia"/>
          <w:lang w:val="en-US" w:eastAsia="en-US"/>
        </w:rPr>
        <w:t>废水排放监测</w:t>
      </w:r>
    </w:p>
    <w:p w14:paraId="5AEBCF48">
      <w:pPr>
        <w:pStyle w:val="13"/>
        <w:spacing w:before="217" w:line="221" w:lineRule="auto"/>
        <w:ind w:left="551"/>
        <w:rPr>
          <w:rFonts w:hint="default" w:ascii="宋体" w:hAnsi="Times New Roman" w:eastAsia="宋体" w:cs="Times New Roman"/>
          <w:kern w:val="0"/>
          <w:sz w:val="21"/>
          <w:szCs w:val="20"/>
          <w:lang w:eastAsia="en-US"/>
        </w:rPr>
      </w:pPr>
      <w:r>
        <w:rPr>
          <w:rFonts w:hint="default" w:ascii="宋体" w:hAnsi="Times New Roman" w:eastAsia="宋体" w:cs="Times New Roman"/>
          <w:spacing w:val="0"/>
          <w:sz w:val="21"/>
          <w:szCs w:val="20"/>
          <w:lang w:eastAsia="en-US"/>
        </w:rPr>
        <w:t>排污单位废水排放监测点位、监测指标及最低监测频次按表</w:t>
      </w:r>
      <w:r>
        <w:rPr>
          <w:rFonts w:hint="default" w:ascii="宋体" w:hAnsi="Times New Roman" w:eastAsia="宋体" w:cs="Times New Roman"/>
          <w:spacing w:val="0"/>
          <w:sz w:val="21"/>
          <w:szCs w:val="20"/>
          <w:lang w:val="en-US" w:eastAsia="en-US"/>
        </w:rPr>
        <w:t>3</w:t>
      </w:r>
      <w:r>
        <w:rPr>
          <w:rFonts w:hint="default" w:ascii="宋体" w:hAnsi="Times New Roman" w:eastAsia="宋体" w:cs="Times New Roman"/>
          <w:spacing w:val="0"/>
          <w:sz w:val="21"/>
          <w:szCs w:val="20"/>
          <w:lang w:eastAsia="en-US"/>
        </w:rPr>
        <w:t>执行。</w:t>
      </w:r>
    </w:p>
    <w:p w14:paraId="26E40351">
      <w:pPr>
        <w:pStyle w:val="20"/>
        <w:autoSpaceDE w:val="0"/>
        <w:autoSpaceDN w:val="0"/>
        <w:adjustRightInd w:val="0"/>
        <w:spacing w:line="360" w:lineRule="auto"/>
        <w:ind w:left="6093" w:hanging="6093" w:hangingChars="2745"/>
        <w:jc w:val="center"/>
        <w:rPr>
          <w:rFonts w:hint="eastAsia" w:ascii="黑体" w:hAnsi="黑体" w:eastAsia="黑体" w:cs="黑体"/>
          <w:snapToGrid w:val="0"/>
          <w:color w:val="000000"/>
          <w:spacing w:val="6"/>
          <w:kern w:val="0"/>
          <w:sz w:val="21"/>
          <w:szCs w:val="21"/>
          <w:lang w:val="en-US" w:eastAsia="zh" w:bidi="ar-SA"/>
        </w:rPr>
      </w:pPr>
      <w:r>
        <w:rPr>
          <w:rFonts w:hint="eastAsia" w:ascii="黑体" w:hAnsi="黑体" w:eastAsia="黑体" w:cs="黑体"/>
          <w:snapToGrid w:val="0"/>
          <w:color w:val="000000"/>
          <w:spacing w:val="6"/>
          <w:kern w:val="0"/>
          <w:sz w:val="21"/>
          <w:szCs w:val="21"/>
          <w:lang w:val="en-US" w:eastAsia="zh" w:bidi="ar-SA"/>
        </w:rPr>
        <w:t>废水监测点位、监测指标及最低监测频次</w:t>
      </w:r>
    </w:p>
    <w:tbl>
      <w:tblPr>
        <w:tblStyle w:val="8"/>
        <w:tblW w:w="90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4"/>
        <w:gridCol w:w="4337"/>
        <w:gridCol w:w="1350"/>
        <w:gridCol w:w="1536"/>
      </w:tblGrid>
      <w:tr w14:paraId="6BAA0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jc w:val="center"/>
        </w:trPr>
        <w:tc>
          <w:tcPr>
            <w:tcW w:w="1794" w:type="dxa"/>
            <w:vMerge w:val="restart"/>
            <w:noWrap w:val="0"/>
            <w:vAlign w:val="center"/>
          </w:tcPr>
          <w:p w14:paraId="659F01C2">
            <w:pPr>
              <w:autoSpaceDE w:val="0"/>
              <w:autoSpaceDN w:val="0"/>
              <w:adjustRightInd w:val="0"/>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监测点位</w:t>
            </w:r>
          </w:p>
        </w:tc>
        <w:tc>
          <w:tcPr>
            <w:tcW w:w="4337" w:type="dxa"/>
            <w:vMerge w:val="restart"/>
            <w:noWrap w:val="0"/>
            <w:vAlign w:val="center"/>
          </w:tcPr>
          <w:p w14:paraId="378AA1E1">
            <w:pPr>
              <w:autoSpaceDE w:val="0"/>
              <w:autoSpaceDN w:val="0"/>
              <w:adjustRightInd w:val="0"/>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监测指标</w:t>
            </w:r>
          </w:p>
        </w:tc>
        <w:tc>
          <w:tcPr>
            <w:tcW w:w="2886" w:type="dxa"/>
            <w:gridSpan w:val="2"/>
            <w:noWrap w:val="0"/>
            <w:vAlign w:val="center"/>
          </w:tcPr>
          <w:p w14:paraId="01BEF2AE">
            <w:pPr>
              <w:autoSpaceDE w:val="0"/>
              <w:autoSpaceDN w:val="0"/>
              <w:adjustRightInd w:val="0"/>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监测频次</w:t>
            </w:r>
          </w:p>
        </w:tc>
      </w:tr>
      <w:tr w14:paraId="703B0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94" w:type="dxa"/>
            <w:vMerge w:val="continue"/>
            <w:noWrap w:val="0"/>
            <w:vAlign w:val="center"/>
          </w:tcPr>
          <w:p w14:paraId="55F47929">
            <w:pPr>
              <w:autoSpaceDE w:val="0"/>
              <w:autoSpaceDN w:val="0"/>
              <w:adjustRightInd w:val="0"/>
              <w:jc w:val="center"/>
              <w:rPr>
                <w:rFonts w:hint="eastAsia" w:ascii="宋体" w:hAnsi="宋体" w:eastAsia="宋体" w:cs="宋体"/>
                <w:color w:val="auto"/>
                <w:sz w:val="18"/>
                <w:szCs w:val="18"/>
              </w:rPr>
            </w:pPr>
          </w:p>
        </w:tc>
        <w:tc>
          <w:tcPr>
            <w:tcW w:w="4337" w:type="dxa"/>
            <w:vMerge w:val="continue"/>
            <w:noWrap w:val="0"/>
            <w:vAlign w:val="center"/>
          </w:tcPr>
          <w:p w14:paraId="6A73261A">
            <w:pPr>
              <w:autoSpaceDE w:val="0"/>
              <w:autoSpaceDN w:val="0"/>
              <w:adjustRightInd w:val="0"/>
              <w:jc w:val="center"/>
              <w:rPr>
                <w:rFonts w:hint="eastAsia" w:ascii="宋体" w:hAnsi="宋体" w:eastAsia="宋体" w:cs="宋体"/>
                <w:color w:val="auto"/>
                <w:sz w:val="18"/>
                <w:szCs w:val="18"/>
              </w:rPr>
            </w:pPr>
          </w:p>
        </w:tc>
        <w:tc>
          <w:tcPr>
            <w:tcW w:w="1350" w:type="dxa"/>
            <w:noWrap w:val="0"/>
            <w:vAlign w:val="center"/>
          </w:tcPr>
          <w:p w14:paraId="1BBE43E0">
            <w:pPr>
              <w:autoSpaceDE w:val="0"/>
              <w:autoSpaceDN w:val="0"/>
              <w:adjustRightInd w:val="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排放</w:t>
            </w:r>
          </w:p>
        </w:tc>
        <w:tc>
          <w:tcPr>
            <w:tcW w:w="1536" w:type="dxa"/>
            <w:noWrap w:val="0"/>
            <w:vAlign w:val="center"/>
          </w:tcPr>
          <w:p w14:paraId="42C06B5F">
            <w:pPr>
              <w:autoSpaceDE w:val="0"/>
              <w:autoSpaceDN w:val="0"/>
              <w:adjustRightInd w:val="0"/>
              <w:jc w:val="center"/>
              <w:rPr>
                <w:rFonts w:hint="eastAsia" w:ascii="宋体" w:hAnsi="宋体" w:eastAsia="宋体" w:cs="宋体"/>
                <w:color w:val="auto"/>
                <w:kern w:val="0"/>
                <w:sz w:val="18"/>
                <w:szCs w:val="18"/>
                <w:lang w:val="en-US" w:eastAsia="zh"/>
              </w:rPr>
            </w:pPr>
            <w:r>
              <w:rPr>
                <w:rFonts w:hint="eastAsia" w:ascii="宋体" w:hAnsi="宋体" w:eastAsia="宋体" w:cs="宋体"/>
                <w:color w:val="auto"/>
                <w:kern w:val="0"/>
                <w:sz w:val="18"/>
                <w:szCs w:val="18"/>
                <w:lang w:val="en-US" w:eastAsia="zh"/>
              </w:rPr>
              <w:t>回用</w:t>
            </w:r>
          </w:p>
        </w:tc>
      </w:tr>
      <w:tr w14:paraId="3F388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jc w:val="center"/>
        </w:trPr>
        <w:tc>
          <w:tcPr>
            <w:tcW w:w="1794" w:type="dxa"/>
            <w:vMerge w:val="restart"/>
            <w:noWrap w:val="0"/>
            <w:vAlign w:val="center"/>
          </w:tcPr>
          <w:p w14:paraId="079162A5">
            <w:pPr>
              <w:autoSpaceDE w:val="0"/>
              <w:autoSpaceDN w:val="0"/>
              <w:adjustRightInd w:val="0"/>
              <w:jc w:val="center"/>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lang w:val="en-US" w:eastAsia="zh-CN"/>
              </w:rPr>
              <w:t>废水</w:t>
            </w:r>
            <w:r>
              <w:rPr>
                <w:rFonts w:hint="eastAsia" w:ascii="宋体" w:hAnsi="宋体" w:eastAsia="宋体" w:cs="宋体"/>
                <w:color w:val="auto"/>
                <w:kern w:val="0"/>
                <w:sz w:val="18"/>
                <w:szCs w:val="18"/>
              </w:rPr>
              <w:t>总排放口</w:t>
            </w:r>
          </w:p>
        </w:tc>
        <w:tc>
          <w:tcPr>
            <w:tcW w:w="4337" w:type="dxa"/>
            <w:noWrap w:val="0"/>
            <w:vAlign w:val="center"/>
          </w:tcPr>
          <w:p w14:paraId="435A02F2">
            <w:pPr>
              <w:autoSpaceDE w:val="0"/>
              <w:autoSpaceDN w:val="0"/>
              <w:adjustRightInd w:val="0"/>
              <w:jc w:val="center"/>
              <w:rPr>
                <w:rFonts w:hint="eastAsia" w:ascii="宋体" w:hAnsi="宋体" w:eastAsia="宋体" w:cs="宋体"/>
                <w:color w:val="auto"/>
                <w:kern w:val="0"/>
                <w:sz w:val="18"/>
                <w:szCs w:val="18"/>
              </w:rPr>
            </w:pPr>
            <w:r>
              <w:rPr>
                <w:rFonts w:hint="eastAsia" w:ascii="宋体" w:hAnsi="宋体" w:eastAsia="宋体" w:cs="宋体"/>
                <w:color w:val="auto"/>
                <w:spacing w:val="-1"/>
                <w:sz w:val="18"/>
                <w:szCs w:val="18"/>
              </w:rPr>
              <w:t>流量、pH值、化学需氧量、氨氮</w:t>
            </w:r>
          </w:p>
        </w:tc>
        <w:tc>
          <w:tcPr>
            <w:tcW w:w="2886" w:type="dxa"/>
            <w:gridSpan w:val="2"/>
            <w:noWrap w:val="0"/>
            <w:vAlign w:val="center"/>
          </w:tcPr>
          <w:p w14:paraId="1835650E">
            <w:pPr>
              <w:autoSpaceDE w:val="0"/>
              <w:autoSpaceDN w:val="0"/>
              <w:adjustRightInd w:val="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自动监测</w:t>
            </w:r>
          </w:p>
        </w:tc>
      </w:tr>
      <w:tr w14:paraId="7FBEA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794" w:type="dxa"/>
            <w:vMerge w:val="continue"/>
            <w:noWrap w:val="0"/>
            <w:vAlign w:val="center"/>
          </w:tcPr>
          <w:p w14:paraId="03DAB046">
            <w:pPr>
              <w:autoSpaceDE w:val="0"/>
              <w:autoSpaceDN w:val="0"/>
              <w:adjustRightInd w:val="0"/>
              <w:jc w:val="center"/>
              <w:rPr>
                <w:rFonts w:hint="eastAsia" w:ascii="宋体" w:hAnsi="宋体" w:eastAsia="宋体" w:cs="宋体"/>
                <w:color w:val="auto"/>
                <w:sz w:val="18"/>
                <w:szCs w:val="18"/>
              </w:rPr>
            </w:pPr>
          </w:p>
        </w:tc>
        <w:tc>
          <w:tcPr>
            <w:tcW w:w="4337" w:type="dxa"/>
            <w:noWrap w:val="0"/>
            <w:vAlign w:val="center"/>
          </w:tcPr>
          <w:p w14:paraId="508782A5">
            <w:pPr>
              <w:autoSpaceDE w:val="0"/>
              <w:autoSpaceDN w:val="0"/>
              <w:adjustRightInd w:val="0"/>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悬浮物、生化需氧量、石油类、总氮、总磷、挥发酚、硫化物、</w:t>
            </w:r>
            <w:r>
              <w:rPr>
                <w:rFonts w:hint="eastAsia" w:ascii="宋体" w:hAnsi="宋体" w:eastAsia="宋体" w:cs="宋体"/>
                <w:color w:val="auto"/>
                <w:kern w:val="0"/>
                <w:sz w:val="18"/>
                <w:szCs w:val="18"/>
                <w:lang w:val="en-US" w:eastAsia="zh-CN"/>
              </w:rPr>
              <w:t>苯系物</w:t>
            </w:r>
            <w:r>
              <w:rPr>
                <w:rFonts w:hint="eastAsia" w:ascii="宋体" w:hAnsi="宋体" w:eastAsia="宋体" w:cs="宋体"/>
                <w:color w:val="auto"/>
                <w:kern w:val="0"/>
                <w:sz w:val="18"/>
                <w:szCs w:val="18"/>
              </w:rPr>
              <w:t>、氰化物、多环芳烃、苯并[a]芘</w:t>
            </w:r>
          </w:p>
        </w:tc>
        <w:tc>
          <w:tcPr>
            <w:tcW w:w="1350" w:type="dxa"/>
            <w:noWrap w:val="0"/>
            <w:vAlign w:val="center"/>
          </w:tcPr>
          <w:p w14:paraId="22EAEE29">
            <w:pPr>
              <w:autoSpaceDE w:val="0"/>
              <w:autoSpaceDN w:val="0"/>
              <w:adjustRightInd w:val="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月</w:t>
            </w:r>
          </w:p>
        </w:tc>
        <w:tc>
          <w:tcPr>
            <w:tcW w:w="1536" w:type="dxa"/>
            <w:noWrap w:val="0"/>
            <w:vAlign w:val="center"/>
          </w:tcPr>
          <w:p w14:paraId="6772012F">
            <w:pPr>
              <w:autoSpaceDE w:val="0"/>
              <w:autoSpaceDN w:val="0"/>
              <w:adjustRightInd w:val="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季度</w:t>
            </w:r>
          </w:p>
        </w:tc>
      </w:tr>
      <w:tr w14:paraId="4A315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1794" w:type="dxa"/>
            <w:noWrap w:val="0"/>
            <w:vAlign w:val="center"/>
          </w:tcPr>
          <w:p w14:paraId="5ED19E37">
            <w:pPr>
              <w:autoSpaceDE w:val="0"/>
              <w:autoSpaceDN w:val="0"/>
              <w:adjustRightInd w:val="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生活污水排放口</w:t>
            </w:r>
          </w:p>
        </w:tc>
        <w:tc>
          <w:tcPr>
            <w:tcW w:w="4337" w:type="dxa"/>
            <w:noWrap w:val="0"/>
            <w:vAlign w:val="center"/>
          </w:tcPr>
          <w:p w14:paraId="66A306C5">
            <w:pPr>
              <w:autoSpaceDE w:val="0"/>
              <w:autoSpaceDN w:val="0"/>
              <w:adjustRightInd w:val="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悬浮物、五日生化需氧量、总磷、总氮</w:t>
            </w:r>
          </w:p>
        </w:tc>
        <w:tc>
          <w:tcPr>
            <w:tcW w:w="1350" w:type="dxa"/>
            <w:noWrap w:val="0"/>
            <w:vAlign w:val="center"/>
          </w:tcPr>
          <w:p w14:paraId="105BABEE">
            <w:pPr>
              <w:autoSpaceDE w:val="0"/>
              <w:autoSpaceDN w:val="0"/>
              <w:adjustRightInd w:val="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月</w:t>
            </w:r>
          </w:p>
        </w:tc>
        <w:tc>
          <w:tcPr>
            <w:tcW w:w="1536" w:type="dxa"/>
            <w:noWrap w:val="0"/>
            <w:vAlign w:val="center"/>
          </w:tcPr>
          <w:p w14:paraId="174D07CA">
            <w:pPr>
              <w:autoSpaceDE w:val="0"/>
              <w:autoSpaceDN w:val="0"/>
              <w:adjustRightInd w:val="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季度</w:t>
            </w:r>
          </w:p>
        </w:tc>
      </w:tr>
    </w:tbl>
    <w:p w14:paraId="4D73824D">
      <w:pPr>
        <w:pStyle w:val="21"/>
        <w:spacing w:before="319" w:beforeLines="100" w:after="319" w:afterLines="100"/>
        <w:ind w:left="0" w:leftChars="0" w:firstLineChars="0"/>
        <w:outlineLvl w:val="0"/>
        <w:rPr>
          <w:rFonts w:hint="eastAsia"/>
          <w:lang w:val="en-US" w:eastAsia="en-US"/>
        </w:rPr>
      </w:pPr>
      <w:r>
        <w:rPr>
          <w:rFonts w:hint="eastAsia"/>
          <w:lang w:val="en-US" w:eastAsia="en-US"/>
        </w:rPr>
        <w:t>厂界环境噪声监测</w:t>
      </w:r>
    </w:p>
    <w:p w14:paraId="5A9CC4F6">
      <w:pPr>
        <w:pStyle w:val="24"/>
        <w:keepNext w:val="0"/>
        <w:keepLines w:val="0"/>
        <w:pageBreakBefore w:val="0"/>
        <w:widowControl w:val="0"/>
        <w:kinsoku/>
        <w:wordWrap/>
        <w:overflowPunct/>
        <w:topLinePunct w:val="0"/>
        <w:autoSpaceDE/>
        <w:autoSpaceDN/>
        <w:bidi w:val="0"/>
        <w:adjustRightInd/>
        <w:snapToGrid/>
        <w:spacing w:line="423" w:lineRule="auto"/>
        <w:ind w:left="0" w:leftChars="0" w:firstLineChars="0"/>
        <w:textAlignment w:val="auto"/>
        <w:rPr>
          <w:rFonts w:hint="default" w:ascii="宋体" w:hAnsi="Times New Roman" w:eastAsia="宋体" w:cs="Times New Roman"/>
          <w:snapToGrid/>
          <w:color w:val="000000"/>
          <w:spacing w:val="0"/>
          <w:kern w:val="0"/>
          <w:sz w:val="21"/>
          <w:szCs w:val="21"/>
          <w:lang w:eastAsia="en-US"/>
        </w:rPr>
      </w:pPr>
      <w:r>
        <w:rPr>
          <w:rFonts w:hint="default" w:ascii="宋体" w:hAnsi="Times New Roman" w:eastAsia="宋体" w:cs="Times New Roman"/>
          <w:snapToGrid/>
          <w:color w:val="000000"/>
          <w:spacing w:val="0"/>
          <w:kern w:val="0"/>
          <w:sz w:val="21"/>
          <w:szCs w:val="21"/>
          <w:lang w:eastAsia="en-US"/>
        </w:rPr>
        <w:t>厂界环境噪声监测点位设置应遵循</w:t>
      </w:r>
      <w:r>
        <w:rPr>
          <w:rFonts w:hint="default" w:ascii="宋体" w:hAnsi="Times New Roman" w:eastAsia="宋体" w:cs="Times New Roman"/>
          <w:snapToGrid/>
          <w:color w:val="000000"/>
          <w:kern w:val="0"/>
          <w:sz w:val="21"/>
          <w:szCs w:val="21"/>
          <w:lang w:val="en-US" w:eastAsia="en-US" w:bidi="ar-SA"/>
        </w:rPr>
        <w:t>HJ</w:t>
      </w:r>
      <w:r>
        <w:rPr>
          <w:rFonts w:hint="eastAsia" w:hAnsi="Times New Roman" w:cs="Times New Roman"/>
          <w:snapToGrid/>
          <w:kern w:val="0"/>
          <w:sz w:val="21"/>
          <w:szCs w:val="21"/>
          <w:lang w:val="en-US" w:eastAsia="zh-CN" w:bidi="ar-SA"/>
        </w:rPr>
        <w:t xml:space="preserve"> </w:t>
      </w:r>
      <w:r>
        <w:rPr>
          <w:rFonts w:hint="default" w:ascii="宋体" w:hAnsi="Times New Roman" w:eastAsia="宋体" w:cs="Times New Roman"/>
          <w:snapToGrid/>
          <w:color w:val="000000"/>
          <w:kern w:val="0"/>
          <w:sz w:val="21"/>
          <w:szCs w:val="21"/>
          <w:lang w:val="en-US" w:eastAsia="en-US" w:bidi="ar-SA"/>
        </w:rPr>
        <w:t>819</w:t>
      </w:r>
      <w:r>
        <w:rPr>
          <w:rFonts w:hint="default" w:ascii="宋体" w:hAnsi="Times New Roman" w:eastAsia="宋体" w:cs="Times New Roman"/>
          <w:snapToGrid/>
          <w:color w:val="000000"/>
          <w:spacing w:val="0"/>
          <w:kern w:val="0"/>
          <w:sz w:val="21"/>
          <w:szCs w:val="21"/>
          <w:lang w:eastAsia="en-US"/>
        </w:rPr>
        <w:t>中的原则，主要考虑破碎设备、筛分设备、风机、空压机、水泵等噪声源在厂区内的分布情况</w:t>
      </w:r>
      <w:r>
        <w:rPr>
          <w:rFonts w:hint="default" w:ascii="宋体" w:hAnsi="Times New Roman" w:eastAsia="宋体" w:cs="Times New Roman"/>
          <w:snapToGrid/>
          <w:color w:val="000000"/>
          <w:spacing w:val="0"/>
          <w:kern w:val="0"/>
          <w:sz w:val="21"/>
          <w:szCs w:val="21"/>
          <w:lang w:val="en-US" w:eastAsia="en-US"/>
        </w:rPr>
        <w:t>和周边敏感建筑物的位置</w:t>
      </w:r>
      <w:r>
        <w:rPr>
          <w:rFonts w:hint="default" w:ascii="宋体" w:hAnsi="Times New Roman" w:eastAsia="宋体" w:cs="Times New Roman"/>
          <w:snapToGrid/>
          <w:color w:val="000000"/>
          <w:spacing w:val="0"/>
          <w:kern w:val="0"/>
          <w:sz w:val="21"/>
          <w:szCs w:val="21"/>
          <w:lang w:eastAsia="en-US"/>
        </w:rPr>
        <w:t>。</w:t>
      </w:r>
    </w:p>
    <w:p w14:paraId="4862B340">
      <w:pPr>
        <w:pStyle w:val="24"/>
        <w:keepNext w:val="0"/>
        <w:keepLines w:val="0"/>
        <w:pageBreakBefore w:val="0"/>
        <w:widowControl w:val="0"/>
        <w:kinsoku/>
        <w:wordWrap/>
        <w:overflowPunct/>
        <w:topLinePunct w:val="0"/>
        <w:autoSpaceDE/>
        <w:autoSpaceDN/>
        <w:bidi w:val="0"/>
        <w:adjustRightInd/>
        <w:snapToGrid/>
        <w:spacing w:line="423" w:lineRule="auto"/>
        <w:ind w:left="0" w:leftChars="0" w:firstLineChars="0"/>
        <w:textAlignment w:val="auto"/>
        <w:rPr>
          <w:rFonts w:hint="default" w:ascii="宋体" w:hAnsi="Times New Roman" w:eastAsia="宋体" w:cs="Times New Roman"/>
          <w:snapToGrid/>
          <w:spacing w:val="0"/>
          <w:kern w:val="0"/>
          <w:sz w:val="21"/>
          <w:szCs w:val="21"/>
          <w:lang w:eastAsia="en-US"/>
        </w:rPr>
      </w:pPr>
      <w:r>
        <w:rPr>
          <w:rFonts w:hint="default" w:ascii="宋体" w:hAnsi="Times New Roman" w:eastAsia="宋体" w:cs="Times New Roman"/>
          <w:snapToGrid/>
          <w:color w:val="000000"/>
          <w:spacing w:val="0"/>
          <w:kern w:val="0"/>
          <w:sz w:val="21"/>
          <w:szCs w:val="21"/>
          <w:lang w:eastAsia="en-US"/>
        </w:rPr>
        <w:t>厂界</w:t>
      </w:r>
      <w:r>
        <w:rPr>
          <w:rFonts w:hint="default" w:ascii="宋体" w:hAnsi="Times New Roman" w:eastAsia="宋体" w:cs="Times New Roman"/>
          <w:snapToGrid/>
          <w:color w:val="000000"/>
          <w:spacing w:val="0"/>
          <w:kern w:val="0"/>
          <w:sz w:val="21"/>
          <w:szCs w:val="21"/>
          <w:lang w:val="en-US" w:eastAsia="en-US"/>
        </w:rPr>
        <w:t>环境</w:t>
      </w:r>
      <w:r>
        <w:rPr>
          <w:rFonts w:hint="default" w:ascii="宋体" w:hAnsi="Times New Roman" w:eastAsia="宋体" w:cs="Times New Roman"/>
          <w:snapToGrid/>
          <w:color w:val="000000"/>
          <w:spacing w:val="0"/>
          <w:kern w:val="0"/>
          <w:sz w:val="21"/>
          <w:szCs w:val="21"/>
          <w:lang w:eastAsia="en-US"/>
        </w:rPr>
        <w:t>噪声每季度至少开展一次昼、夜</w:t>
      </w:r>
      <w:r>
        <w:rPr>
          <w:rFonts w:hint="default" w:ascii="宋体" w:hAnsi="Times New Roman" w:eastAsia="宋体" w:cs="Times New Roman"/>
          <w:snapToGrid/>
          <w:color w:val="000000"/>
          <w:spacing w:val="0"/>
          <w:kern w:val="0"/>
          <w:sz w:val="21"/>
          <w:szCs w:val="21"/>
          <w:lang w:val="en-US" w:eastAsia="en-US"/>
        </w:rPr>
        <w:t>间噪声</w:t>
      </w:r>
      <w:r>
        <w:rPr>
          <w:rFonts w:hint="default" w:ascii="宋体" w:hAnsi="Times New Roman" w:eastAsia="宋体" w:cs="Times New Roman"/>
          <w:snapToGrid/>
          <w:color w:val="000000"/>
          <w:spacing w:val="0"/>
          <w:kern w:val="0"/>
          <w:sz w:val="21"/>
          <w:szCs w:val="21"/>
          <w:lang w:eastAsia="en-US"/>
        </w:rPr>
        <w:t>监测，监测指标为等效</w:t>
      </w:r>
      <w:r>
        <w:rPr>
          <w:rFonts w:hint="default" w:ascii="宋体" w:hAnsi="Times New Roman" w:eastAsia="宋体" w:cs="Times New Roman"/>
          <w:snapToGrid/>
          <w:color w:val="000000"/>
          <w:spacing w:val="0"/>
          <w:kern w:val="0"/>
          <w:sz w:val="21"/>
          <w:szCs w:val="21"/>
          <w:lang w:val="en-US" w:eastAsia="en-US"/>
        </w:rPr>
        <w:t>连续</w:t>
      </w:r>
      <w:r>
        <w:rPr>
          <w:rFonts w:hint="default" w:ascii="宋体" w:hAnsi="Times New Roman" w:eastAsia="宋体" w:cs="Times New Roman"/>
          <w:snapToGrid/>
          <w:color w:val="000000"/>
          <w:spacing w:val="0"/>
          <w:kern w:val="0"/>
          <w:sz w:val="21"/>
          <w:szCs w:val="21"/>
          <w:lang w:eastAsia="en-US"/>
        </w:rPr>
        <w:t>A声级，夜间有频发、偶发噪声影响时，同时测量频发、偶发最大声级。</w:t>
      </w:r>
    </w:p>
    <w:p w14:paraId="22EEA864">
      <w:pPr>
        <w:pStyle w:val="24"/>
        <w:keepNext w:val="0"/>
        <w:keepLines w:val="0"/>
        <w:pageBreakBefore w:val="0"/>
        <w:widowControl w:val="0"/>
        <w:kinsoku/>
        <w:wordWrap/>
        <w:overflowPunct/>
        <w:topLinePunct w:val="0"/>
        <w:autoSpaceDE/>
        <w:autoSpaceDN/>
        <w:bidi w:val="0"/>
        <w:adjustRightInd/>
        <w:snapToGrid/>
        <w:spacing w:line="423" w:lineRule="auto"/>
        <w:ind w:left="0" w:leftChars="0" w:firstLineChars="0"/>
        <w:textAlignment w:val="auto"/>
        <w:rPr>
          <w:rFonts w:hint="default" w:ascii="宋体" w:hAnsi="Times New Roman" w:eastAsia="宋体" w:cs="Times New Roman"/>
          <w:snapToGrid/>
          <w:spacing w:val="0"/>
          <w:kern w:val="0"/>
          <w:sz w:val="21"/>
          <w:szCs w:val="21"/>
          <w:lang w:eastAsia="en-US"/>
        </w:rPr>
      </w:pPr>
      <w:r>
        <w:rPr>
          <w:rFonts w:hint="default" w:ascii="宋体" w:hAnsi="Times New Roman" w:eastAsia="宋体" w:cs="Times New Roman"/>
          <w:snapToGrid/>
          <w:color w:val="000000"/>
          <w:spacing w:val="0"/>
          <w:kern w:val="0"/>
          <w:sz w:val="21"/>
          <w:szCs w:val="21"/>
          <w:lang w:eastAsia="en-US"/>
        </w:rPr>
        <w:t>夜间不生产的可不开展夜间噪声监测。</w:t>
      </w:r>
    </w:p>
    <w:p w14:paraId="70091403">
      <w:pPr>
        <w:pStyle w:val="24"/>
        <w:keepNext w:val="0"/>
        <w:keepLines w:val="0"/>
        <w:pageBreakBefore w:val="0"/>
        <w:widowControl w:val="0"/>
        <w:kinsoku/>
        <w:wordWrap/>
        <w:overflowPunct/>
        <w:topLinePunct w:val="0"/>
        <w:autoSpaceDE/>
        <w:autoSpaceDN/>
        <w:bidi w:val="0"/>
        <w:adjustRightInd/>
        <w:snapToGrid/>
        <w:spacing w:line="423" w:lineRule="auto"/>
        <w:ind w:left="0" w:leftChars="0" w:firstLineChars="0"/>
        <w:textAlignment w:val="auto"/>
        <w:rPr>
          <w:rFonts w:hint="default" w:ascii="宋体" w:hAnsi="Times New Roman" w:eastAsia="宋体" w:cs="Times New Roman"/>
          <w:snapToGrid/>
          <w:color w:val="000000"/>
          <w:spacing w:val="0"/>
          <w:kern w:val="0"/>
          <w:sz w:val="21"/>
          <w:szCs w:val="21"/>
          <w:lang w:eastAsia="en-US"/>
        </w:rPr>
      </w:pPr>
      <w:r>
        <w:rPr>
          <w:rFonts w:hint="default" w:ascii="宋体" w:hAnsi="Times New Roman" w:eastAsia="宋体" w:cs="Times New Roman"/>
          <w:snapToGrid/>
          <w:color w:val="000000"/>
          <w:spacing w:val="0"/>
          <w:kern w:val="0"/>
          <w:sz w:val="21"/>
          <w:szCs w:val="21"/>
          <w:lang w:eastAsia="en-US"/>
        </w:rPr>
        <w:t>周边有噪声敏感建筑物的，应提高监测频次。</w:t>
      </w:r>
    </w:p>
    <w:p w14:paraId="7A9FF091">
      <w:pPr>
        <w:pStyle w:val="21"/>
        <w:spacing w:before="319" w:beforeLines="100" w:after="319" w:afterLines="100"/>
        <w:ind w:left="0" w:leftChars="0" w:firstLineChars="0"/>
        <w:outlineLvl w:val="0"/>
        <w:rPr>
          <w:rFonts w:hint="eastAsia" w:ascii="黑体" w:hAnsi="Times New Roman" w:eastAsia="黑体" w:cs="Times New Roman"/>
          <w:snapToGrid/>
          <w:color w:val="000000"/>
          <w:spacing w:val="0"/>
          <w:kern w:val="0"/>
          <w:sz w:val="21"/>
          <w:szCs w:val="21"/>
          <w:lang w:val="en-US" w:eastAsia="en-US" w:bidi="ar-SA"/>
        </w:rPr>
      </w:pPr>
      <w:r>
        <w:rPr>
          <w:rFonts w:hint="eastAsia" w:ascii="黑体" w:hAnsi="Times New Roman" w:eastAsia="黑体" w:cs="Times New Roman"/>
          <w:snapToGrid/>
          <w:color w:val="000000"/>
          <w:spacing w:val="0"/>
          <w:kern w:val="0"/>
          <w:sz w:val="21"/>
          <w:szCs w:val="21"/>
          <w:lang w:val="en-US" w:eastAsia="en-US" w:bidi="ar-SA"/>
        </w:rPr>
        <w:t>周边环境质量影响监测</w:t>
      </w:r>
    </w:p>
    <w:p w14:paraId="139B975D">
      <w:pPr>
        <w:pStyle w:val="24"/>
        <w:spacing w:before="159" w:beforeLines="50" w:after="159" w:afterLines="50"/>
        <w:ind w:left="0" w:leftChars="0" w:firstLineChars="0"/>
        <w:outlineLvl w:val="2"/>
        <w:rPr>
          <w:rFonts w:hint="default" w:ascii="宋体" w:hAnsi="Times New Roman" w:eastAsia="宋体" w:cs="Times New Roman"/>
          <w:sz w:val="21"/>
          <w:szCs w:val="21"/>
          <w:lang w:eastAsia="en-US"/>
        </w:rPr>
      </w:pPr>
      <w:r>
        <w:rPr>
          <w:rFonts w:hint="default" w:ascii="宋体" w:hAnsi="Times New Roman" w:eastAsia="宋体" w:cs="Times New Roman"/>
          <w:snapToGrid/>
          <w:color w:val="000000"/>
          <w:spacing w:val="0"/>
          <w:kern w:val="0"/>
          <w:sz w:val="21"/>
          <w:szCs w:val="21"/>
          <w:lang w:eastAsia="en-US"/>
        </w:rPr>
        <w:t>其他环境管理政策，或环境影响评价文件及其批复有明确要求的，按要求执行。</w:t>
      </w:r>
    </w:p>
    <w:p w14:paraId="31E5F8FC">
      <w:pPr>
        <w:pStyle w:val="24"/>
        <w:keepNext w:val="0"/>
        <w:keepLines w:val="0"/>
        <w:pageBreakBefore w:val="0"/>
        <w:widowControl w:val="0"/>
        <w:kinsoku/>
        <w:wordWrap/>
        <w:overflowPunct/>
        <w:topLinePunct w:val="0"/>
        <w:autoSpaceDE/>
        <w:autoSpaceDN/>
        <w:bidi w:val="0"/>
        <w:adjustRightInd/>
        <w:snapToGrid/>
        <w:spacing w:line="423" w:lineRule="auto"/>
        <w:ind w:left="0" w:leftChars="0" w:firstLineChars="0"/>
        <w:textAlignment w:val="auto"/>
        <w:outlineLvl w:val="2"/>
        <w:rPr>
          <w:rFonts w:hint="default" w:ascii="宋体" w:hAnsi="Times New Roman" w:eastAsia="宋体" w:cs="Times New Roman"/>
          <w:snapToGrid/>
          <w:color w:val="000000"/>
          <w:spacing w:val="0"/>
          <w:kern w:val="0"/>
          <w:sz w:val="21"/>
          <w:szCs w:val="21"/>
          <w:lang w:eastAsia="en-US"/>
        </w:rPr>
      </w:pPr>
      <w:r>
        <w:rPr>
          <w:rFonts w:hint="default" w:ascii="宋体" w:hAnsi="Times New Roman" w:eastAsia="宋体" w:cs="Times New Roman"/>
          <w:snapToGrid/>
          <w:color w:val="000000"/>
          <w:spacing w:val="0"/>
          <w:kern w:val="0"/>
          <w:sz w:val="21"/>
          <w:szCs w:val="21"/>
          <w:lang w:eastAsia="en-US"/>
        </w:rPr>
        <w:t>可根据实际情况参照表</w:t>
      </w:r>
      <w:r>
        <w:rPr>
          <w:rFonts w:hint="default" w:ascii="宋体" w:hAnsi="Times New Roman" w:eastAsia="宋体" w:cs="Times New Roman"/>
          <w:snapToGrid/>
          <w:color w:val="000000"/>
          <w:spacing w:val="0"/>
          <w:kern w:val="0"/>
          <w:sz w:val="21"/>
          <w:szCs w:val="21"/>
          <w:lang w:val="en-US" w:eastAsia="en-US"/>
        </w:rPr>
        <w:t>4</w:t>
      </w:r>
      <w:r>
        <w:rPr>
          <w:rFonts w:hint="default" w:ascii="宋体" w:hAnsi="Times New Roman" w:eastAsia="宋体" w:cs="Times New Roman"/>
          <w:snapToGrid/>
          <w:color w:val="000000"/>
          <w:spacing w:val="0"/>
          <w:kern w:val="0"/>
          <w:sz w:val="21"/>
          <w:szCs w:val="21"/>
          <w:lang w:eastAsia="en-US"/>
        </w:rPr>
        <w:t xml:space="preserve">对周边环境空气、地表水、地下水、土壤开展监测，监测点位可按照 </w:t>
      </w:r>
      <w:r>
        <w:rPr>
          <w:rFonts w:hint="default" w:ascii="宋体" w:hAnsi="Times New Roman" w:eastAsia="宋体" w:cs="Times New Roman"/>
          <w:snapToGrid/>
          <w:color w:val="000000"/>
          <w:kern w:val="0"/>
          <w:sz w:val="21"/>
          <w:szCs w:val="21"/>
          <w:lang w:val="en-US" w:eastAsia="en-US" w:bidi="ar-SA"/>
        </w:rPr>
        <w:t>HJ</w:t>
      </w:r>
      <w:r>
        <w:rPr>
          <w:rFonts w:hint="eastAsia" w:hAnsi="Times New Roman" w:cs="Times New Roman"/>
          <w:snapToGrid/>
          <w:kern w:val="0"/>
          <w:sz w:val="21"/>
          <w:szCs w:val="21"/>
          <w:lang w:val="en-US" w:eastAsia="zh-CN" w:bidi="ar-SA"/>
        </w:rPr>
        <w:t xml:space="preserve"> </w:t>
      </w:r>
      <w:r>
        <w:rPr>
          <w:rFonts w:hint="default" w:ascii="宋体" w:hAnsi="Times New Roman" w:eastAsia="宋体" w:cs="Times New Roman"/>
          <w:snapToGrid/>
          <w:color w:val="000000"/>
          <w:kern w:val="0"/>
          <w:sz w:val="21"/>
          <w:szCs w:val="21"/>
          <w:lang w:val="en-US" w:eastAsia="en-US" w:bidi="ar-SA"/>
        </w:rPr>
        <w:t>194、HJ</w:t>
      </w:r>
      <w:r>
        <w:rPr>
          <w:rFonts w:hint="eastAsia" w:hAnsi="Times New Roman" w:cs="Times New Roman"/>
          <w:snapToGrid/>
          <w:kern w:val="0"/>
          <w:sz w:val="21"/>
          <w:szCs w:val="21"/>
          <w:lang w:val="en-US" w:eastAsia="zh-CN" w:bidi="ar-SA"/>
        </w:rPr>
        <w:t xml:space="preserve"> </w:t>
      </w:r>
      <w:r>
        <w:rPr>
          <w:rFonts w:hint="default" w:ascii="宋体" w:hAnsi="Times New Roman" w:eastAsia="宋体" w:cs="Times New Roman"/>
          <w:snapToGrid/>
          <w:color w:val="000000"/>
          <w:kern w:val="0"/>
          <w:sz w:val="21"/>
          <w:szCs w:val="21"/>
          <w:lang w:val="en-US" w:eastAsia="en-US" w:bidi="ar-SA"/>
        </w:rPr>
        <w:t>664、HJ</w:t>
      </w:r>
      <w:r>
        <w:rPr>
          <w:rFonts w:hint="eastAsia" w:hAnsi="Times New Roman" w:cs="Times New Roman"/>
          <w:snapToGrid/>
          <w:kern w:val="0"/>
          <w:sz w:val="21"/>
          <w:szCs w:val="21"/>
          <w:lang w:val="en-US" w:eastAsia="zh-CN" w:bidi="ar-SA"/>
        </w:rPr>
        <w:t xml:space="preserve"> </w:t>
      </w:r>
      <w:r>
        <w:rPr>
          <w:rFonts w:hint="default" w:ascii="宋体" w:hAnsi="Times New Roman" w:eastAsia="宋体" w:cs="Times New Roman"/>
          <w:snapToGrid/>
          <w:color w:val="000000"/>
          <w:kern w:val="0"/>
          <w:sz w:val="21"/>
          <w:szCs w:val="21"/>
          <w:lang w:val="en-US" w:eastAsia="en-US" w:bidi="ar-SA"/>
        </w:rPr>
        <w:t>2.3、HJ</w:t>
      </w:r>
      <w:r>
        <w:rPr>
          <w:rFonts w:hint="eastAsia" w:hAnsi="Times New Roman" w:cs="Times New Roman"/>
          <w:snapToGrid/>
          <w:kern w:val="0"/>
          <w:sz w:val="21"/>
          <w:szCs w:val="21"/>
          <w:lang w:val="en-US" w:eastAsia="zh-CN" w:bidi="ar-SA"/>
        </w:rPr>
        <w:t xml:space="preserve"> </w:t>
      </w:r>
      <w:r>
        <w:rPr>
          <w:rFonts w:hint="default" w:ascii="宋体" w:hAnsi="Times New Roman" w:eastAsia="宋体" w:cs="Times New Roman"/>
          <w:snapToGrid/>
          <w:color w:val="000000"/>
          <w:kern w:val="0"/>
          <w:sz w:val="21"/>
          <w:szCs w:val="21"/>
          <w:lang w:val="en-US" w:eastAsia="en-US" w:bidi="ar-SA"/>
        </w:rPr>
        <w:t>91.2、HJ</w:t>
      </w:r>
      <w:r>
        <w:rPr>
          <w:rFonts w:hint="eastAsia" w:hAnsi="Times New Roman" w:cs="Times New Roman"/>
          <w:snapToGrid/>
          <w:kern w:val="0"/>
          <w:sz w:val="21"/>
          <w:szCs w:val="21"/>
          <w:lang w:val="en-US" w:eastAsia="zh-CN" w:bidi="ar-SA"/>
        </w:rPr>
        <w:t xml:space="preserve"> </w:t>
      </w:r>
      <w:r>
        <w:rPr>
          <w:rFonts w:hint="default" w:ascii="宋体" w:hAnsi="Times New Roman" w:eastAsia="宋体" w:cs="Times New Roman"/>
          <w:snapToGrid/>
          <w:color w:val="000000"/>
          <w:kern w:val="0"/>
          <w:sz w:val="21"/>
          <w:szCs w:val="21"/>
          <w:lang w:val="en-US" w:eastAsia="en-US" w:bidi="ar-SA"/>
        </w:rPr>
        <w:t>164、HJ</w:t>
      </w:r>
      <w:r>
        <w:rPr>
          <w:rFonts w:hint="eastAsia" w:hAnsi="Times New Roman" w:cs="Times New Roman"/>
          <w:snapToGrid/>
          <w:kern w:val="0"/>
          <w:sz w:val="21"/>
          <w:szCs w:val="21"/>
          <w:lang w:val="en-US" w:eastAsia="zh-CN" w:bidi="ar-SA"/>
        </w:rPr>
        <w:t xml:space="preserve"> </w:t>
      </w:r>
      <w:r>
        <w:rPr>
          <w:rFonts w:hint="default" w:ascii="宋体" w:hAnsi="Times New Roman" w:eastAsia="宋体" w:cs="Times New Roman"/>
          <w:snapToGrid/>
          <w:color w:val="000000"/>
          <w:kern w:val="0"/>
          <w:sz w:val="21"/>
          <w:szCs w:val="21"/>
          <w:lang w:val="en-US" w:eastAsia="en-US" w:bidi="ar-SA"/>
        </w:rPr>
        <w:t>610、HJ/T</w:t>
      </w:r>
      <w:r>
        <w:rPr>
          <w:rFonts w:hint="eastAsia" w:hAnsi="Times New Roman" w:cs="Times New Roman"/>
          <w:snapToGrid/>
          <w:kern w:val="0"/>
          <w:sz w:val="21"/>
          <w:szCs w:val="21"/>
          <w:lang w:val="en-US" w:eastAsia="zh-CN" w:bidi="ar-SA"/>
        </w:rPr>
        <w:t xml:space="preserve"> </w:t>
      </w:r>
      <w:r>
        <w:rPr>
          <w:rFonts w:hint="default" w:ascii="宋体" w:hAnsi="Times New Roman" w:eastAsia="宋体" w:cs="Times New Roman"/>
          <w:snapToGrid/>
          <w:color w:val="000000"/>
          <w:kern w:val="0"/>
          <w:sz w:val="21"/>
          <w:szCs w:val="21"/>
          <w:lang w:val="en-US" w:eastAsia="en-US" w:bidi="ar-SA"/>
        </w:rPr>
        <w:t>66、HJ</w:t>
      </w:r>
      <w:r>
        <w:rPr>
          <w:rFonts w:hint="eastAsia" w:hAnsi="Times New Roman" w:cs="Times New Roman"/>
          <w:snapToGrid/>
          <w:kern w:val="0"/>
          <w:sz w:val="21"/>
          <w:szCs w:val="21"/>
          <w:lang w:val="en-US" w:eastAsia="zh-CN" w:bidi="ar-SA"/>
        </w:rPr>
        <w:t xml:space="preserve"> </w:t>
      </w:r>
      <w:r>
        <w:rPr>
          <w:rFonts w:hint="default" w:ascii="宋体" w:hAnsi="Times New Roman" w:eastAsia="宋体" w:cs="Times New Roman"/>
          <w:snapToGrid/>
          <w:color w:val="000000"/>
          <w:kern w:val="0"/>
          <w:sz w:val="21"/>
          <w:szCs w:val="21"/>
          <w:lang w:val="en-US" w:eastAsia="en-US" w:bidi="ar-SA"/>
        </w:rPr>
        <w:t>964</w:t>
      </w:r>
      <w:r>
        <w:rPr>
          <w:rFonts w:hint="default" w:ascii="宋体" w:hAnsi="Times New Roman" w:eastAsia="宋体" w:cs="Times New Roman"/>
          <w:snapToGrid/>
          <w:color w:val="000000"/>
          <w:spacing w:val="0"/>
          <w:kern w:val="0"/>
          <w:sz w:val="21"/>
          <w:szCs w:val="21"/>
          <w:lang w:eastAsia="en-US"/>
        </w:rPr>
        <w:t>中的相关规定设置。</w:t>
      </w:r>
    </w:p>
    <w:p w14:paraId="2377F58F">
      <w:pPr>
        <w:pStyle w:val="20"/>
        <w:keepNext w:val="0"/>
        <w:keepLines w:val="0"/>
        <w:pageBreakBefore w:val="0"/>
        <w:widowControl w:val="0"/>
        <w:kinsoku/>
        <w:wordWrap/>
        <w:overflowPunct/>
        <w:topLinePunct w:val="0"/>
        <w:autoSpaceDE/>
        <w:autoSpaceDN/>
        <w:bidi w:val="0"/>
        <w:adjustRightInd/>
        <w:snapToGrid/>
        <w:spacing w:line="423" w:lineRule="auto"/>
        <w:ind w:left="6093" w:hanging="6093" w:hangingChars="2745"/>
        <w:jc w:val="center"/>
        <w:textAlignment w:val="auto"/>
        <w:outlineLvl w:val="2"/>
        <w:rPr>
          <w:rFonts w:hint="eastAsia" w:hAnsi="黑体" w:cs="黑体"/>
          <w:snapToGrid w:val="0"/>
          <w:color w:val="000000"/>
          <w:spacing w:val="6"/>
          <w:sz w:val="21"/>
          <w:szCs w:val="21"/>
          <w:lang w:eastAsia="zh"/>
        </w:rPr>
      </w:pPr>
      <w:r>
        <w:rPr>
          <w:rFonts w:hint="eastAsia" w:ascii="黑体" w:hAnsi="黑体" w:eastAsia="黑体" w:cs="黑体"/>
          <w:snapToGrid w:val="0"/>
          <w:color w:val="000000"/>
          <w:spacing w:val="6"/>
          <w:kern w:val="0"/>
          <w:sz w:val="21"/>
          <w:szCs w:val="21"/>
          <w:lang w:val="en-US" w:eastAsia="zh" w:bidi="ar-SA"/>
        </w:rPr>
        <w:t>周边环境质量影响监测指标及最低监测频次</w:t>
      </w:r>
    </w:p>
    <w:tbl>
      <w:tblPr>
        <w:tblStyle w:val="8"/>
        <w:tblW w:w="489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1"/>
        <w:gridCol w:w="5915"/>
        <w:gridCol w:w="1491"/>
      </w:tblGrid>
      <w:tr w14:paraId="71ED5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trPr>
        <w:tc>
          <w:tcPr>
            <w:tcW w:w="925" w:type="pct"/>
            <w:noWrap w:val="0"/>
            <w:vAlign w:val="center"/>
          </w:tcPr>
          <w:p w14:paraId="2E941801">
            <w:pPr>
              <w:autoSpaceDE w:val="0"/>
              <w:autoSpaceDN w:val="0"/>
              <w:adjustRightInd w:val="0"/>
              <w:jc w:val="center"/>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lang w:val="en-US" w:eastAsia="zh-CN"/>
              </w:rPr>
              <w:t>目标环境</w:t>
            </w:r>
          </w:p>
        </w:tc>
        <w:tc>
          <w:tcPr>
            <w:tcW w:w="3254" w:type="pct"/>
            <w:noWrap w:val="0"/>
            <w:vAlign w:val="center"/>
          </w:tcPr>
          <w:p w14:paraId="32863BAB">
            <w:pPr>
              <w:autoSpaceDE w:val="0"/>
              <w:autoSpaceDN w:val="0"/>
              <w:adjustRightInd w:val="0"/>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监测指标</w:t>
            </w:r>
          </w:p>
        </w:tc>
        <w:tc>
          <w:tcPr>
            <w:tcW w:w="820" w:type="pct"/>
            <w:noWrap w:val="0"/>
            <w:vAlign w:val="center"/>
          </w:tcPr>
          <w:p w14:paraId="4EB1FD5E">
            <w:pPr>
              <w:autoSpaceDE w:val="0"/>
              <w:autoSpaceDN w:val="0"/>
              <w:adjustRightInd w:val="0"/>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监测频次</w:t>
            </w:r>
          </w:p>
        </w:tc>
      </w:tr>
      <w:tr w14:paraId="0CEDC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trPr>
        <w:tc>
          <w:tcPr>
            <w:tcW w:w="925" w:type="pct"/>
            <w:noWrap w:val="0"/>
            <w:vAlign w:val="center"/>
          </w:tcPr>
          <w:p w14:paraId="0BB998B3">
            <w:pPr>
              <w:spacing w:before="45" w:line="220" w:lineRule="auto"/>
              <w:jc w:val="center"/>
              <w:rPr>
                <w:rFonts w:hint="eastAsia" w:ascii="宋体" w:hAnsi="宋体" w:eastAsia="宋体" w:cs="宋体"/>
                <w:color w:val="auto"/>
                <w:kern w:val="0"/>
                <w:sz w:val="18"/>
                <w:szCs w:val="18"/>
              </w:rPr>
            </w:pPr>
            <w:r>
              <w:rPr>
                <w:rFonts w:hint="eastAsia" w:ascii="宋体" w:hAnsi="宋体" w:eastAsia="宋体" w:cs="宋体"/>
                <w:color w:val="auto"/>
                <w:spacing w:val="-2"/>
                <w:sz w:val="18"/>
                <w:szCs w:val="18"/>
              </w:rPr>
              <w:t>环境空气</w:t>
            </w:r>
          </w:p>
        </w:tc>
        <w:tc>
          <w:tcPr>
            <w:tcW w:w="3254" w:type="pct"/>
            <w:noWrap w:val="0"/>
            <w:vAlign w:val="center"/>
          </w:tcPr>
          <w:p w14:paraId="1AE99EFE">
            <w:pPr>
              <w:autoSpaceDE w:val="0"/>
              <w:autoSpaceDN w:val="0"/>
              <w:adjustRightInd w:val="0"/>
              <w:jc w:val="center"/>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rPr>
              <w:t>氨、硫化氢、苯并[a]芘、酚类化合物、</w:t>
            </w:r>
            <w:r>
              <w:rPr>
                <w:rFonts w:hint="eastAsia" w:ascii="宋体" w:hAnsi="宋体" w:eastAsia="宋体" w:cs="宋体"/>
                <w:color w:val="auto"/>
                <w:kern w:val="0"/>
                <w:sz w:val="18"/>
                <w:szCs w:val="18"/>
                <w:lang w:val="en-US" w:eastAsia="zh-CN"/>
              </w:rPr>
              <w:t>苯系物、非甲烷总烃</w:t>
            </w:r>
          </w:p>
        </w:tc>
        <w:tc>
          <w:tcPr>
            <w:tcW w:w="820" w:type="pct"/>
            <w:noWrap w:val="0"/>
            <w:vAlign w:val="center"/>
          </w:tcPr>
          <w:p w14:paraId="64135D98">
            <w:pPr>
              <w:autoSpaceDE w:val="0"/>
              <w:autoSpaceDN w:val="0"/>
              <w:adjustRightInd w:val="0"/>
              <w:jc w:val="center"/>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lang w:val="en-US" w:eastAsia="zh-CN"/>
              </w:rPr>
              <w:t>年</w:t>
            </w:r>
          </w:p>
        </w:tc>
      </w:tr>
      <w:tr w14:paraId="52261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trPr>
        <w:tc>
          <w:tcPr>
            <w:tcW w:w="925" w:type="pct"/>
            <w:noWrap w:val="0"/>
            <w:vAlign w:val="center"/>
          </w:tcPr>
          <w:p w14:paraId="3CB8AB06">
            <w:pPr>
              <w:spacing w:before="64" w:line="217" w:lineRule="auto"/>
              <w:jc w:val="center"/>
              <w:rPr>
                <w:rFonts w:hint="eastAsia" w:ascii="宋体" w:hAnsi="宋体" w:eastAsia="宋体" w:cs="宋体"/>
                <w:color w:val="auto"/>
                <w:kern w:val="0"/>
                <w:sz w:val="18"/>
                <w:szCs w:val="18"/>
              </w:rPr>
            </w:pPr>
            <w:r>
              <w:rPr>
                <w:rFonts w:hint="eastAsia" w:ascii="宋体" w:hAnsi="宋体" w:eastAsia="宋体" w:cs="宋体"/>
                <w:color w:val="auto"/>
                <w:spacing w:val="-2"/>
                <w:sz w:val="18"/>
                <w:szCs w:val="18"/>
              </w:rPr>
              <w:t>地下水</w:t>
            </w:r>
          </w:p>
        </w:tc>
        <w:tc>
          <w:tcPr>
            <w:tcW w:w="3254" w:type="pct"/>
            <w:noWrap w:val="0"/>
            <w:vAlign w:val="center"/>
          </w:tcPr>
          <w:p w14:paraId="5986DF69">
            <w:pPr>
              <w:keepNext w:val="0"/>
              <w:keepLines w:val="0"/>
              <w:widowControl/>
              <w:suppressLineNumbers w:val="0"/>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氨氮、氰化物、挥发酚、石油类、硫化物、苯并[α]芘</w:t>
            </w:r>
          </w:p>
        </w:tc>
        <w:tc>
          <w:tcPr>
            <w:tcW w:w="820" w:type="pct"/>
            <w:noWrap w:val="0"/>
            <w:vAlign w:val="center"/>
          </w:tcPr>
          <w:p w14:paraId="19FF63E9">
            <w:pPr>
              <w:autoSpaceDE w:val="0"/>
              <w:autoSpaceDN w:val="0"/>
              <w:adjustRightInd w:val="0"/>
              <w:jc w:val="center"/>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lang w:val="en-US" w:eastAsia="zh-CN"/>
              </w:rPr>
              <w:t>年</w:t>
            </w:r>
          </w:p>
        </w:tc>
      </w:tr>
      <w:tr w14:paraId="4BDEC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 w:hRule="atLeast"/>
        </w:trPr>
        <w:tc>
          <w:tcPr>
            <w:tcW w:w="925" w:type="pct"/>
            <w:noWrap w:val="0"/>
            <w:vAlign w:val="center"/>
          </w:tcPr>
          <w:p w14:paraId="18807D4D">
            <w:pPr>
              <w:spacing w:before="65" w:line="221" w:lineRule="auto"/>
              <w:jc w:val="center"/>
              <w:rPr>
                <w:rFonts w:hint="eastAsia" w:ascii="宋体" w:hAnsi="宋体" w:eastAsia="宋体" w:cs="宋体"/>
                <w:color w:val="auto"/>
                <w:kern w:val="0"/>
                <w:sz w:val="18"/>
                <w:szCs w:val="18"/>
              </w:rPr>
            </w:pPr>
            <w:r>
              <w:rPr>
                <w:rFonts w:hint="eastAsia" w:ascii="宋体" w:hAnsi="宋体" w:eastAsia="宋体" w:cs="宋体"/>
                <w:color w:val="auto"/>
                <w:spacing w:val="-2"/>
                <w:sz w:val="18"/>
                <w:szCs w:val="18"/>
              </w:rPr>
              <w:t>土壤</w:t>
            </w:r>
          </w:p>
        </w:tc>
        <w:tc>
          <w:tcPr>
            <w:tcW w:w="3254" w:type="pct"/>
            <w:noWrap w:val="0"/>
            <w:vAlign w:val="center"/>
          </w:tcPr>
          <w:p w14:paraId="7B0B127B">
            <w:pPr>
              <w:autoSpaceDE w:val="0"/>
              <w:autoSpaceDN w:val="0"/>
              <w:adjustRightInd w:val="0"/>
              <w:jc w:val="center"/>
              <w:rPr>
                <w:rFonts w:hint="eastAsia" w:ascii="宋体" w:hAnsi="宋体" w:eastAsia="宋体" w:cs="宋体"/>
                <w:color w:val="auto"/>
                <w:kern w:val="0"/>
                <w:sz w:val="18"/>
                <w:szCs w:val="18"/>
              </w:rPr>
            </w:pPr>
            <w:r>
              <w:rPr>
                <w:rFonts w:hint="eastAsia" w:ascii="宋体" w:hAnsi="宋体" w:eastAsia="宋体" w:cs="宋体"/>
                <w:color w:val="auto"/>
                <w:kern w:val="0"/>
                <w:sz w:val="18"/>
                <w:szCs w:val="18"/>
                <w:highlight w:val="none"/>
              </w:rPr>
              <w:t>pH、阴离子交换量、</w:t>
            </w:r>
            <w:r>
              <w:rPr>
                <w:rFonts w:hint="eastAsia" w:ascii="宋体" w:hAnsi="宋体" w:eastAsia="宋体" w:cs="宋体"/>
                <w:color w:val="auto"/>
                <w:kern w:val="0"/>
                <w:sz w:val="18"/>
                <w:szCs w:val="18"/>
              </w:rPr>
              <w:t>苯并[α]芘</w:t>
            </w:r>
            <w:r>
              <w:rPr>
                <w:rFonts w:hint="eastAsia" w:ascii="宋体" w:hAnsi="宋体" w:eastAsia="宋体" w:cs="宋体"/>
                <w:color w:val="auto"/>
                <w:kern w:val="0"/>
                <w:sz w:val="18"/>
                <w:szCs w:val="18"/>
                <w:highlight w:val="none"/>
              </w:rPr>
              <w:t>、石油烃、氰化物</w:t>
            </w:r>
          </w:p>
        </w:tc>
        <w:tc>
          <w:tcPr>
            <w:tcW w:w="820" w:type="pct"/>
            <w:noWrap w:val="0"/>
            <w:vAlign w:val="center"/>
          </w:tcPr>
          <w:p w14:paraId="067AAD61">
            <w:pPr>
              <w:autoSpaceDE w:val="0"/>
              <w:autoSpaceDN w:val="0"/>
              <w:adjustRightInd w:val="0"/>
              <w:jc w:val="center"/>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lang w:val="en-US" w:eastAsia="zh-CN"/>
              </w:rPr>
              <w:t>年</w:t>
            </w:r>
          </w:p>
        </w:tc>
      </w:tr>
    </w:tbl>
    <w:p w14:paraId="72F781BE">
      <w:pPr>
        <w:pStyle w:val="21"/>
        <w:spacing w:before="319" w:beforeLines="100" w:after="319" w:afterLines="100"/>
        <w:ind w:left="0" w:leftChars="0" w:firstLineChars="0"/>
        <w:outlineLvl w:val="0"/>
        <w:rPr>
          <w:rFonts w:hint="eastAsia" w:ascii="黑体" w:hAnsi="Times New Roman" w:eastAsia="黑体" w:cs="Times New Roman"/>
          <w:snapToGrid/>
          <w:spacing w:val="0"/>
          <w:kern w:val="0"/>
          <w:sz w:val="21"/>
          <w:szCs w:val="21"/>
          <w:lang w:val="en-US" w:eastAsia="en-US" w:bidi="ar-SA"/>
        </w:rPr>
      </w:pPr>
      <w:r>
        <w:rPr>
          <w:rFonts w:hint="eastAsia" w:ascii="黑体" w:hAnsi="Times New Roman" w:eastAsia="黑体" w:cs="Times New Roman"/>
          <w:snapToGrid/>
          <w:color w:val="000000"/>
          <w:spacing w:val="0"/>
          <w:kern w:val="0"/>
          <w:sz w:val="21"/>
          <w:szCs w:val="21"/>
          <w:lang w:val="en-US" w:eastAsia="en-US" w:bidi="ar-SA"/>
        </w:rPr>
        <w:t>其他</w:t>
      </w:r>
      <w:r>
        <w:rPr>
          <w:rFonts w:hint="eastAsia" w:hAnsi="Times New Roman" w:cs="Times New Roman"/>
          <w:snapToGrid/>
          <w:spacing w:val="0"/>
          <w:kern w:val="0"/>
          <w:sz w:val="21"/>
          <w:szCs w:val="21"/>
          <w:lang w:val="en-US" w:eastAsia="zh-CN" w:bidi="ar-SA"/>
        </w:rPr>
        <w:t>监测内容</w:t>
      </w:r>
    </w:p>
    <w:p w14:paraId="0DBED7B7">
      <w:pPr>
        <w:pStyle w:val="24"/>
        <w:keepNext w:val="0"/>
        <w:keepLines w:val="0"/>
        <w:pageBreakBefore w:val="0"/>
        <w:widowControl w:val="0"/>
        <w:kinsoku/>
        <w:wordWrap/>
        <w:overflowPunct/>
        <w:topLinePunct w:val="0"/>
        <w:autoSpaceDE/>
        <w:autoSpaceDN/>
        <w:bidi w:val="0"/>
        <w:adjustRightInd/>
        <w:snapToGrid/>
        <w:spacing w:line="423" w:lineRule="auto"/>
        <w:ind w:left="0" w:leftChars="0" w:firstLineChars="0"/>
        <w:textAlignment w:val="auto"/>
        <w:outlineLvl w:val="2"/>
        <w:rPr>
          <w:rFonts w:hint="default" w:hAnsi="Times New Roman" w:cs="Times New Roman"/>
          <w:szCs w:val="21"/>
          <w:lang w:eastAsia="en-US"/>
        </w:rPr>
      </w:pPr>
      <w:r>
        <w:rPr>
          <w:rFonts w:hint="default" w:ascii="宋体" w:hAnsi="Times New Roman" w:eastAsia="宋体" w:cs="Times New Roman"/>
          <w:szCs w:val="21"/>
          <w:lang w:val="en-US" w:eastAsia="en-US"/>
        </w:rPr>
        <w:t xml:space="preserve"> </w:t>
      </w:r>
      <w:r>
        <w:rPr>
          <w:rFonts w:hint="default" w:ascii="宋体" w:hAnsi="Times New Roman" w:eastAsia="宋体" w:cs="Times New Roman"/>
          <w:snapToGrid/>
          <w:color w:val="000000"/>
          <w:spacing w:val="0"/>
          <w:kern w:val="0"/>
          <w:sz w:val="21"/>
          <w:szCs w:val="21"/>
          <w:lang w:eastAsia="en-US"/>
        </w:rPr>
        <w:t>除表</w:t>
      </w:r>
      <w:r>
        <w:rPr>
          <w:rFonts w:hint="default" w:ascii="宋体" w:hAnsi="Times New Roman" w:eastAsia="宋体" w:cs="Times New Roman"/>
          <w:snapToGrid/>
          <w:color w:val="000000"/>
          <w:kern w:val="0"/>
          <w:sz w:val="21"/>
          <w:szCs w:val="21"/>
          <w:lang w:val="en-US" w:eastAsia="en-US" w:bidi="ar-SA"/>
        </w:rPr>
        <w:t>1</w:t>
      </w:r>
      <w:r>
        <w:rPr>
          <w:rFonts w:hint="default" w:ascii="宋体" w:hAnsi="Times New Roman" w:eastAsia="宋体" w:cs="Times New Roman"/>
          <w:snapToGrid/>
          <w:color w:val="000000"/>
          <w:spacing w:val="0"/>
          <w:kern w:val="0"/>
          <w:sz w:val="21"/>
          <w:szCs w:val="21"/>
          <w:lang w:eastAsia="en-US"/>
        </w:rPr>
        <w:t>～表</w:t>
      </w:r>
      <w:r>
        <w:rPr>
          <w:rFonts w:hint="default" w:ascii="宋体" w:hAnsi="Times New Roman" w:eastAsia="宋体" w:cs="Times New Roman"/>
          <w:snapToGrid/>
          <w:color w:val="000000"/>
          <w:kern w:val="0"/>
          <w:sz w:val="21"/>
          <w:szCs w:val="21"/>
          <w:lang w:val="en-US" w:eastAsia="en-US" w:bidi="ar-SA"/>
        </w:rPr>
        <w:t>4</w:t>
      </w:r>
      <w:r>
        <w:rPr>
          <w:rFonts w:hint="default" w:ascii="宋体" w:hAnsi="Times New Roman" w:eastAsia="宋体" w:cs="Times New Roman"/>
          <w:snapToGrid/>
          <w:color w:val="000000"/>
          <w:spacing w:val="0"/>
          <w:kern w:val="0"/>
          <w:sz w:val="21"/>
          <w:szCs w:val="21"/>
          <w:lang w:eastAsia="en-US"/>
        </w:rPr>
        <w:t>中的污染物指标外，</w:t>
      </w:r>
      <w:r>
        <w:rPr>
          <w:rFonts w:hint="eastAsia" w:hAnsi="Times New Roman" w:cs="Times New Roman"/>
          <w:snapToGrid/>
          <w:kern w:val="0"/>
          <w:sz w:val="21"/>
          <w:szCs w:val="21"/>
          <w:lang w:val="en-US" w:eastAsia="zh-CN" w:bidi="ar-SA"/>
        </w:rPr>
        <w:t>下</w:t>
      </w:r>
      <w:r>
        <w:rPr>
          <w:rFonts w:hint="eastAsia" w:hAnsi="Times New Roman" w:cs="Times New Roman"/>
          <w:snapToGrid/>
          <w:spacing w:val="0"/>
          <w:kern w:val="0"/>
          <w:sz w:val="21"/>
          <w:szCs w:val="21"/>
          <w:lang w:val="en-US" w:eastAsia="zh-CN"/>
        </w:rPr>
        <w:t>列</w:t>
      </w:r>
      <w:r>
        <w:rPr>
          <w:rFonts w:hint="default" w:ascii="宋体" w:hAnsi="Times New Roman" w:eastAsia="宋体" w:cs="Times New Roman"/>
          <w:snapToGrid/>
          <w:color w:val="000000"/>
          <w:spacing w:val="0"/>
          <w:kern w:val="0"/>
          <w:sz w:val="21"/>
          <w:szCs w:val="21"/>
          <w:lang w:eastAsia="en-US"/>
        </w:rPr>
        <w:t>污染物指标也应纳入监测指标范围，并参照表</w:t>
      </w:r>
      <w:r>
        <w:rPr>
          <w:rFonts w:hint="default" w:ascii="宋体" w:hAnsi="Times New Roman" w:eastAsia="宋体" w:cs="Times New Roman"/>
          <w:snapToGrid/>
          <w:color w:val="000000"/>
          <w:kern w:val="0"/>
          <w:sz w:val="21"/>
          <w:szCs w:val="21"/>
          <w:lang w:val="en-US" w:eastAsia="en-US" w:bidi="ar-SA"/>
        </w:rPr>
        <w:t>1</w:t>
      </w:r>
      <w:r>
        <w:rPr>
          <w:rFonts w:hint="default" w:ascii="宋体" w:hAnsi="Times New Roman" w:eastAsia="宋体" w:cs="Times New Roman"/>
          <w:snapToGrid/>
          <w:color w:val="000000"/>
          <w:spacing w:val="0"/>
          <w:kern w:val="0"/>
          <w:sz w:val="21"/>
          <w:szCs w:val="21"/>
          <w:lang w:eastAsia="en-US"/>
        </w:rPr>
        <w:t>～表</w:t>
      </w:r>
      <w:r>
        <w:rPr>
          <w:rFonts w:hint="default" w:ascii="宋体" w:hAnsi="Times New Roman" w:eastAsia="宋体" w:cs="Times New Roman"/>
          <w:snapToGrid/>
          <w:color w:val="000000"/>
          <w:kern w:val="0"/>
          <w:sz w:val="21"/>
          <w:szCs w:val="21"/>
          <w:lang w:val="en-US" w:eastAsia="en-US" w:bidi="ar-SA"/>
        </w:rPr>
        <w:t>4</w:t>
      </w:r>
      <w:r>
        <w:rPr>
          <w:rFonts w:hint="default" w:ascii="宋体" w:hAnsi="Times New Roman" w:eastAsia="宋体" w:cs="Times New Roman"/>
          <w:snapToGrid/>
          <w:color w:val="000000"/>
          <w:spacing w:val="0"/>
          <w:kern w:val="0"/>
          <w:sz w:val="21"/>
          <w:szCs w:val="21"/>
          <w:lang w:eastAsia="en-US"/>
        </w:rPr>
        <w:t>和</w:t>
      </w:r>
      <w:r>
        <w:rPr>
          <w:rFonts w:hint="default" w:ascii="宋体" w:hAnsi="Times New Roman" w:eastAsia="宋体" w:cs="Times New Roman"/>
          <w:snapToGrid/>
          <w:color w:val="000000"/>
          <w:kern w:val="0"/>
          <w:sz w:val="21"/>
          <w:szCs w:val="21"/>
          <w:lang w:val="en-US" w:eastAsia="en-US" w:bidi="ar-SA"/>
        </w:rPr>
        <w:t>HJ</w:t>
      </w:r>
      <w:r>
        <w:rPr>
          <w:rFonts w:hint="eastAsia" w:hAnsi="Times New Roman" w:cs="Times New Roman"/>
          <w:snapToGrid/>
          <w:kern w:val="0"/>
          <w:sz w:val="21"/>
          <w:szCs w:val="21"/>
          <w:lang w:val="en-US" w:eastAsia="zh-CN" w:bidi="ar-SA"/>
        </w:rPr>
        <w:t xml:space="preserve"> </w:t>
      </w:r>
      <w:r>
        <w:rPr>
          <w:rFonts w:hint="default" w:ascii="宋体" w:hAnsi="Times New Roman" w:eastAsia="宋体" w:cs="Times New Roman"/>
          <w:snapToGrid/>
          <w:color w:val="000000"/>
          <w:kern w:val="0"/>
          <w:sz w:val="21"/>
          <w:szCs w:val="21"/>
          <w:lang w:val="en-US" w:eastAsia="en-US" w:bidi="ar-SA"/>
        </w:rPr>
        <w:t>819</w:t>
      </w:r>
      <w:r>
        <w:rPr>
          <w:rFonts w:hint="eastAsia" w:hAnsi="Times New Roman" w:cs="Times New Roman"/>
          <w:snapToGrid/>
          <w:kern w:val="0"/>
          <w:sz w:val="21"/>
          <w:szCs w:val="21"/>
          <w:lang w:val="en-US" w:eastAsia="zh-CN" w:bidi="ar-SA"/>
        </w:rPr>
        <w:t>的要求</w:t>
      </w:r>
      <w:r>
        <w:rPr>
          <w:rFonts w:hint="default" w:ascii="宋体" w:hAnsi="Times New Roman" w:eastAsia="宋体" w:cs="Times New Roman"/>
          <w:snapToGrid/>
          <w:color w:val="000000"/>
          <w:spacing w:val="0"/>
          <w:kern w:val="0"/>
          <w:sz w:val="21"/>
          <w:szCs w:val="21"/>
          <w:lang w:eastAsia="en-US"/>
        </w:rPr>
        <w:t>确定监测频次</w:t>
      </w:r>
      <w:r>
        <w:rPr>
          <w:rFonts w:hint="eastAsia" w:hAnsi="Times New Roman" w:cs="Times New Roman"/>
          <w:snapToGrid/>
          <w:spacing w:val="0"/>
          <w:kern w:val="0"/>
          <w:sz w:val="21"/>
          <w:szCs w:val="21"/>
          <w:lang w:eastAsia="zh-CN"/>
        </w:rPr>
        <w:t>：</w:t>
      </w:r>
    </w:p>
    <w:p w14:paraId="67CD30ED">
      <w:pPr>
        <w:pStyle w:val="25"/>
        <w:keepNext w:val="0"/>
        <w:keepLines w:val="0"/>
        <w:pageBreakBefore w:val="0"/>
        <w:widowControl w:val="0"/>
        <w:numPr>
          <w:ilvl w:val="0"/>
          <w:numId w:val="4"/>
        </w:numPr>
        <w:kinsoku/>
        <w:wordWrap/>
        <w:overflowPunct/>
        <w:topLinePunct w:val="0"/>
        <w:autoSpaceDE/>
        <w:autoSpaceDN/>
        <w:bidi w:val="0"/>
        <w:adjustRightInd/>
        <w:snapToGrid/>
        <w:spacing w:line="423" w:lineRule="auto"/>
        <w:textAlignment w:val="auto"/>
        <w:outlineLvl w:val="2"/>
        <w:rPr>
          <w:rFonts w:hint="eastAsia" w:hAnsi="Times New Roman" w:eastAsia="宋体" w:cs="Times New Roman"/>
          <w:szCs w:val="20"/>
        </w:rPr>
      </w:pPr>
      <w:r>
        <w:rPr>
          <w:rFonts w:hint="eastAsia" w:ascii="宋体" w:hAnsi="Times New Roman" w:eastAsia="宋体" w:cs="Times New Roman"/>
          <w:snapToGrid/>
          <w:color w:val="000000"/>
          <w:spacing w:val="0"/>
          <w:kern w:val="0"/>
          <w:sz w:val="21"/>
          <w:szCs w:val="20"/>
          <w:lang w:eastAsia="en-US"/>
        </w:rPr>
        <w:t>排污许可证、所执行的污染物排放（控制）标准、环境影响评价文件及其批复、相关环境管理规定明确要求的污染物指标。</w:t>
      </w:r>
    </w:p>
    <w:p w14:paraId="5D289494">
      <w:pPr>
        <w:pStyle w:val="25"/>
        <w:keepNext w:val="0"/>
        <w:keepLines w:val="0"/>
        <w:pageBreakBefore w:val="0"/>
        <w:widowControl w:val="0"/>
        <w:numPr>
          <w:ilvl w:val="0"/>
          <w:numId w:val="4"/>
        </w:numPr>
        <w:kinsoku/>
        <w:wordWrap/>
        <w:overflowPunct/>
        <w:topLinePunct w:val="0"/>
        <w:autoSpaceDE/>
        <w:autoSpaceDN/>
        <w:bidi w:val="0"/>
        <w:adjustRightInd/>
        <w:snapToGrid/>
        <w:spacing w:line="423" w:lineRule="auto"/>
        <w:textAlignment w:val="auto"/>
        <w:outlineLvl w:val="2"/>
        <w:rPr>
          <w:rFonts w:hint="eastAsia" w:ascii="宋体" w:hAnsi="Times New Roman" w:eastAsia="宋体" w:cs="Times New Roman"/>
          <w:snapToGrid/>
          <w:color w:val="000000"/>
          <w:spacing w:val="0"/>
          <w:kern w:val="0"/>
          <w:sz w:val="21"/>
          <w:szCs w:val="20"/>
          <w:lang w:eastAsia="en-US"/>
        </w:rPr>
      </w:pPr>
      <w:r>
        <w:rPr>
          <w:rFonts w:hint="eastAsia" w:ascii="宋体" w:hAnsi="Times New Roman" w:eastAsia="宋体" w:cs="Times New Roman"/>
          <w:snapToGrid/>
          <w:color w:val="000000"/>
          <w:spacing w:val="0"/>
          <w:kern w:val="0"/>
          <w:sz w:val="21"/>
          <w:szCs w:val="20"/>
          <w:lang w:eastAsia="en-US"/>
        </w:rPr>
        <w:t>排污单位根据生产过程的原辅用料、生产工艺、中间及最终产品类型、监测结果确定实际排放的，在有毒有害或优先控制污染物相关名录中的污染物指标，或其它有毒污染物指标。</w:t>
      </w:r>
    </w:p>
    <w:p w14:paraId="28169EE8">
      <w:pPr>
        <w:pStyle w:val="24"/>
        <w:keepNext w:val="0"/>
        <w:keepLines w:val="0"/>
        <w:pageBreakBefore w:val="0"/>
        <w:widowControl w:val="0"/>
        <w:kinsoku/>
        <w:wordWrap/>
        <w:overflowPunct/>
        <w:topLinePunct w:val="0"/>
        <w:autoSpaceDE/>
        <w:autoSpaceDN/>
        <w:bidi w:val="0"/>
        <w:adjustRightInd/>
        <w:snapToGrid/>
        <w:spacing w:line="423" w:lineRule="auto"/>
        <w:ind w:left="0" w:leftChars="0" w:firstLineChars="0"/>
        <w:textAlignment w:val="auto"/>
        <w:outlineLvl w:val="2"/>
        <w:rPr>
          <w:rFonts w:hint="default" w:ascii="宋体" w:hAnsi="Times New Roman" w:eastAsia="宋体" w:cs="Times New Roman"/>
          <w:sz w:val="21"/>
          <w:szCs w:val="21"/>
          <w:lang w:eastAsia="en-US"/>
        </w:rPr>
      </w:pPr>
      <w:r>
        <w:rPr>
          <w:rFonts w:hint="default" w:ascii="宋体" w:hAnsi="Times New Roman" w:eastAsia="宋体" w:cs="Times New Roman"/>
          <w:snapToGrid/>
          <w:color w:val="000000"/>
          <w:spacing w:val="0"/>
          <w:kern w:val="0"/>
          <w:sz w:val="21"/>
          <w:szCs w:val="21"/>
          <w:lang w:eastAsia="en-US"/>
        </w:rPr>
        <w:t>各指标的监测频次在满足本标准的基础上，可根据</w:t>
      </w:r>
      <w:r>
        <w:rPr>
          <w:rFonts w:hint="default" w:ascii="宋体" w:hAnsi="Times New Roman" w:eastAsia="宋体" w:cs="Times New Roman"/>
          <w:snapToGrid/>
          <w:color w:val="000000"/>
          <w:kern w:val="0"/>
          <w:sz w:val="21"/>
          <w:szCs w:val="21"/>
          <w:lang w:val="en-US" w:eastAsia="en-US" w:bidi="ar-SA"/>
        </w:rPr>
        <w:t>HJ 819</w:t>
      </w:r>
      <w:r>
        <w:rPr>
          <w:rFonts w:hint="default" w:ascii="宋体" w:hAnsi="Times New Roman" w:eastAsia="宋体" w:cs="Times New Roman"/>
          <w:snapToGrid/>
          <w:color w:val="000000"/>
          <w:spacing w:val="0"/>
          <w:kern w:val="0"/>
          <w:sz w:val="21"/>
          <w:szCs w:val="21"/>
          <w:lang w:eastAsia="en-US"/>
        </w:rPr>
        <w:t>中监测频次的确定原则提高监测频次。</w:t>
      </w:r>
    </w:p>
    <w:p w14:paraId="5D335A99">
      <w:pPr>
        <w:pStyle w:val="24"/>
        <w:keepNext w:val="0"/>
        <w:keepLines w:val="0"/>
        <w:pageBreakBefore w:val="0"/>
        <w:widowControl w:val="0"/>
        <w:kinsoku/>
        <w:wordWrap/>
        <w:overflowPunct/>
        <w:topLinePunct w:val="0"/>
        <w:autoSpaceDE/>
        <w:autoSpaceDN/>
        <w:bidi w:val="0"/>
        <w:adjustRightInd/>
        <w:snapToGrid/>
        <w:spacing w:before="62" w:line="423" w:lineRule="auto"/>
        <w:ind w:left="0" w:leftChars="0" w:right="158" w:firstLineChars="0"/>
        <w:textAlignment w:val="auto"/>
        <w:rPr>
          <w:rFonts w:hint="default" w:ascii="宋体" w:hAnsi="Times New Roman" w:eastAsia="宋体" w:cs="Times New Roman"/>
          <w:color w:val="FF0000"/>
          <w:szCs w:val="21"/>
          <w:lang w:eastAsia="en-US"/>
        </w:rPr>
      </w:pPr>
      <w:r>
        <w:rPr>
          <w:rFonts w:hint="default" w:ascii="宋体" w:hAnsi="Times New Roman" w:eastAsia="宋体" w:cs="Times New Roman"/>
          <w:snapToGrid/>
          <w:color w:val="000000"/>
          <w:spacing w:val="0"/>
          <w:kern w:val="0"/>
          <w:sz w:val="21"/>
          <w:szCs w:val="21"/>
          <w:lang w:eastAsia="en-US"/>
        </w:rPr>
        <w:t>重点排污单位</w:t>
      </w:r>
      <w:r>
        <w:rPr>
          <w:rFonts w:hint="default" w:ascii="宋体" w:hAnsi="Times New Roman" w:eastAsia="宋体" w:cs="Times New Roman"/>
          <w:snapToGrid/>
          <w:spacing w:val="0"/>
          <w:kern w:val="0"/>
          <w:sz w:val="21"/>
          <w:szCs w:val="21"/>
          <w:lang w:eastAsia="en-US"/>
        </w:rPr>
        <w:t>应</w:t>
      </w:r>
      <w:r>
        <w:rPr>
          <w:rFonts w:hint="eastAsia" w:cs="Times New Roman"/>
          <w:snapToGrid/>
          <w:spacing w:val="0"/>
          <w:kern w:val="0"/>
          <w:sz w:val="21"/>
          <w:szCs w:val="21"/>
          <w:lang w:val="en-US" w:eastAsia="zh-CN"/>
        </w:rPr>
        <w:t>当</w:t>
      </w:r>
      <w:r>
        <w:rPr>
          <w:rFonts w:hint="default" w:ascii="宋体" w:hAnsi="Times New Roman" w:eastAsia="宋体" w:cs="Times New Roman"/>
          <w:snapToGrid/>
          <w:color w:val="000000"/>
          <w:spacing w:val="0"/>
          <w:kern w:val="0"/>
          <w:sz w:val="21"/>
          <w:szCs w:val="21"/>
          <w:lang w:eastAsia="en-US"/>
        </w:rPr>
        <w:t>依法依规安装使用自动监测设备</w:t>
      </w:r>
      <w:r>
        <w:rPr>
          <w:rFonts w:hint="eastAsia" w:cs="Times New Roman"/>
          <w:snapToGrid/>
          <w:color w:val="000000"/>
          <w:spacing w:val="0"/>
          <w:kern w:val="0"/>
          <w:sz w:val="21"/>
          <w:szCs w:val="21"/>
          <w:lang w:eastAsia="zh-CN"/>
        </w:rPr>
        <w:t>。</w:t>
      </w:r>
      <w:r>
        <w:rPr>
          <w:rFonts w:hint="eastAsia" w:cs="Times New Roman"/>
          <w:snapToGrid/>
          <w:color w:val="000000"/>
          <w:spacing w:val="0"/>
          <w:kern w:val="0"/>
          <w:sz w:val="21"/>
          <w:szCs w:val="21"/>
          <w:lang w:val="en-US" w:eastAsia="zh-CN"/>
        </w:rPr>
        <w:t>非重点排污单位不作强制要求，相应点位、指标和监测频次参照本标准执行</w:t>
      </w:r>
      <w:r>
        <w:rPr>
          <w:rFonts w:hint="default" w:ascii="宋体" w:hAnsi="Times New Roman" w:eastAsia="宋体" w:cs="Times New Roman"/>
          <w:snapToGrid/>
          <w:color w:val="000000"/>
          <w:spacing w:val="0"/>
          <w:kern w:val="0"/>
          <w:sz w:val="21"/>
          <w:szCs w:val="21"/>
          <w:lang w:eastAsia="en-US"/>
        </w:rPr>
        <w:t>。</w:t>
      </w:r>
    </w:p>
    <w:p w14:paraId="1EC67056">
      <w:pPr>
        <w:pStyle w:val="24"/>
        <w:keepNext w:val="0"/>
        <w:keepLines w:val="0"/>
        <w:pageBreakBefore w:val="0"/>
        <w:widowControl w:val="0"/>
        <w:kinsoku/>
        <w:wordWrap/>
        <w:overflowPunct/>
        <w:topLinePunct w:val="0"/>
        <w:autoSpaceDE/>
        <w:autoSpaceDN/>
        <w:bidi w:val="0"/>
        <w:adjustRightInd/>
        <w:snapToGrid/>
        <w:spacing w:line="423" w:lineRule="auto"/>
        <w:ind w:left="0" w:leftChars="0" w:firstLineChars="0"/>
        <w:textAlignment w:val="auto"/>
        <w:outlineLvl w:val="2"/>
        <w:rPr>
          <w:rFonts w:hint="default" w:hAnsi="Times New Roman" w:cs="Times New Roman"/>
          <w:szCs w:val="21"/>
          <w:lang w:eastAsia="en-US"/>
        </w:rPr>
      </w:pPr>
      <w:r>
        <w:rPr>
          <w:rFonts w:hint="default" w:ascii="宋体" w:hAnsi="Times New Roman" w:eastAsia="宋体" w:cs="Times New Roman"/>
          <w:snapToGrid/>
          <w:color w:val="000000"/>
          <w:spacing w:val="0"/>
          <w:kern w:val="0"/>
          <w:sz w:val="21"/>
          <w:szCs w:val="21"/>
          <w:lang w:eastAsia="en-US"/>
        </w:rPr>
        <w:t>采样方法、监测分析方法、监测质量保证与质量控制等按</w:t>
      </w:r>
      <w:r>
        <w:rPr>
          <w:rFonts w:hint="default" w:ascii="宋体" w:hAnsi="Times New Roman" w:eastAsia="宋体" w:cs="Times New Roman"/>
          <w:snapToGrid/>
          <w:color w:val="000000"/>
          <w:kern w:val="0"/>
          <w:sz w:val="21"/>
          <w:szCs w:val="21"/>
          <w:lang w:val="en-US" w:eastAsia="en-US" w:bidi="ar-SA"/>
        </w:rPr>
        <w:t>HJ</w:t>
      </w:r>
      <w:r>
        <w:rPr>
          <w:rFonts w:hint="eastAsia" w:hAnsi="Times New Roman" w:cs="Times New Roman"/>
          <w:snapToGrid/>
          <w:kern w:val="0"/>
          <w:sz w:val="21"/>
          <w:szCs w:val="21"/>
          <w:lang w:val="en-US" w:eastAsia="zh-CN" w:bidi="ar-SA"/>
        </w:rPr>
        <w:t xml:space="preserve"> </w:t>
      </w:r>
      <w:r>
        <w:rPr>
          <w:rFonts w:hint="default" w:ascii="宋体" w:hAnsi="Times New Roman" w:eastAsia="宋体" w:cs="Times New Roman"/>
          <w:snapToGrid/>
          <w:color w:val="000000"/>
          <w:kern w:val="0"/>
          <w:sz w:val="21"/>
          <w:szCs w:val="21"/>
          <w:lang w:val="en-US" w:eastAsia="en-US" w:bidi="ar-SA"/>
        </w:rPr>
        <w:t>819</w:t>
      </w:r>
      <w:r>
        <w:rPr>
          <w:rFonts w:hint="default" w:ascii="宋体" w:hAnsi="Times New Roman" w:eastAsia="宋体" w:cs="Times New Roman"/>
          <w:snapToGrid/>
          <w:color w:val="000000"/>
          <w:spacing w:val="0"/>
          <w:kern w:val="0"/>
          <w:sz w:val="21"/>
          <w:szCs w:val="21"/>
          <w:lang w:eastAsia="en-US"/>
        </w:rPr>
        <w:t>执行。</w:t>
      </w:r>
    </w:p>
    <w:p w14:paraId="7CF28181">
      <w:pPr>
        <w:pStyle w:val="24"/>
        <w:keepNext w:val="0"/>
        <w:keepLines w:val="0"/>
        <w:pageBreakBefore w:val="0"/>
        <w:widowControl w:val="0"/>
        <w:kinsoku/>
        <w:wordWrap/>
        <w:overflowPunct/>
        <w:topLinePunct w:val="0"/>
        <w:autoSpaceDE/>
        <w:autoSpaceDN/>
        <w:bidi w:val="0"/>
        <w:adjustRightInd/>
        <w:snapToGrid/>
        <w:spacing w:line="423" w:lineRule="auto"/>
        <w:ind w:left="0" w:leftChars="0" w:firstLineChars="0"/>
        <w:textAlignment w:val="auto"/>
        <w:outlineLvl w:val="2"/>
        <w:rPr>
          <w:rFonts w:hint="default" w:ascii="宋体" w:hAnsi="Times New Roman" w:eastAsia="宋体" w:cs="Times New Roman"/>
          <w:szCs w:val="21"/>
          <w:lang w:eastAsia="en-US"/>
        </w:rPr>
      </w:pPr>
      <w:r>
        <w:rPr>
          <w:rFonts w:hint="default" w:ascii="宋体" w:hAnsi="Times New Roman" w:eastAsia="宋体" w:cs="Times New Roman"/>
          <w:snapToGrid/>
          <w:color w:val="000000"/>
          <w:spacing w:val="0"/>
          <w:kern w:val="0"/>
          <w:sz w:val="21"/>
          <w:szCs w:val="21"/>
          <w:lang w:eastAsia="en-US"/>
        </w:rPr>
        <w:t>监测方案的描述、变更按</w:t>
      </w:r>
      <w:r>
        <w:rPr>
          <w:rFonts w:hint="default" w:ascii="宋体" w:hAnsi="Times New Roman" w:eastAsia="宋体" w:cs="Times New Roman"/>
          <w:snapToGrid/>
          <w:color w:val="000000"/>
          <w:kern w:val="0"/>
          <w:sz w:val="21"/>
          <w:szCs w:val="21"/>
          <w:lang w:val="en-US" w:eastAsia="en-US" w:bidi="ar-SA"/>
        </w:rPr>
        <w:t>HJ 819</w:t>
      </w:r>
      <w:r>
        <w:rPr>
          <w:rFonts w:hint="default" w:ascii="宋体" w:hAnsi="Times New Roman" w:eastAsia="宋体" w:cs="Times New Roman"/>
          <w:snapToGrid/>
          <w:color w:val="000000"/>
          <w:spacing w:val="0"/>
          <w:kern w:val="0"/>
          <w:sz w:val="21"/>
          <w:szCs w:val="21"/>
          <w:lang w:eastAsia="en-US"/>
        </w:rPr>
        <w:t>执行。</w:t>
      </w:r>
    </w:p>
    <w:p w14:paraId="3B1F9DA0">
      <w:pPr>
        <w:pStyle w:val="22"/>
        <w:spacing w:before="319" w:beforeLines="100" w:after="319" w:afterLines="100"/>
        <w:ind w:left="0" w:leftChars="0" w:firstLineChars="0"/>
        <w:outlineLvl w:val="0"/>
        <w:rPr>
          <w:rFonts w:hint="eastAsia"/>
          <w:lang w:val="en-US" w:eastAsia="en-US"/>
        </w:rPr>
      </w:pPr>
      <w:bookmarkStart w:id="14" w:name="_Toc30061"/>
      <w:bookmarkStart w:id="15" w:name="_Toc1355"/>
      <w:r>
        <w:rPr>
          <w:rFonts w:hint="eastAsia"/>
          <w:lang w:val="en-US" w:eastAsia="en-US"/>
        </w:rPr>
        <w:t>信息记录和报告</w:t>
      </w:r>
      <w:bookmarkEnd w:id="14"/>
      <w:bookmarkEnd w:id="15"/>
    </w:p>
    <w:p w14:paraId="00399987">
      <w:pPr>
        <w:pStyle w:val="21"/>
        <w:spacing w:before="319" w:beforeLines="100" w:after="319" w:afterLines="100"/>
        <w:ind w:left="0" w:leftChars="0" w:firstLineChars="0"/>
        <w:outlineLvl w:val="0"/>
        <w:rPr>
          <w:rFonts w:hint="eastAsia"/>
          <w:lang w:val="en-US" w:eastAsia="en-US"/>
        </w:rPr>
      </w:pPr>
      <w:r>
        <w:rPr>
          <w:rFonts w:hint="eastAsia"/>
          <w:lang w:val="en-US" w:eastAsia="en-US"/>
        </w:rPr>
        <w:t>信息记录</w:t>
      </w:r>
    </w:p>
    <w:p w14:paraId="311AB189">
      <w:pPr>
        <w:pStyle w:val="23"/>
        <w:spacing w:before="319" w:beforeLines="100" w:after="319" w:afterLines="100"/>
        <w:ind w:left="0" w:leftChars="0" w:firstLineChars="0"/>
        <w:outlineLvl w:val="0"/>
        <w:rPr>
          <w:rFonts w:hint="eastAsia"/>
          <w:lang w:val="en-US" w:eastAsia="en-US"/>
        </w:rPr>
      </w:pPr>
      <w:r>
        <w:rPr>
          <w:rFonts w:hint="eastAsia"/>
          <w:lang w:val="en-US" w:eastAsia="en-US"/>
        </w:rPr>
        <w:t>监测信息记录</w:t>
      </w:r>
    </w:p>
    <w:p w14:paraId="2D2DA42E">
      <w:pPr>
        <w:pStyle w:val="24"/>
        <w:keepNext w:val="0"/>
        <w:keepLines w:val="0"/>
        <w:pageBreakBefore w:val="0"/>
        <w:widowControl/>
        <w:numPr>
          <w:ilvl w:val="3"/>
          <w:numId w:val="2"/>
        </w:numPr>
        <w:kinsoku/>
        <w:wordWrap/>
        <w:overflowPunct/>
        <w:topLinePunct w:val="0"/>
        <w:autoSpaceDE/>
        <w:autoSpaceDN/>
        <w:bidi w:val="0"/>
        <w:adjustRightInd/>
        <w:snapToGrid/>
        <w:spacing w:before="283" w:line="423" w:lineRule="auto"/>
        <w:ind w:right="0" w:firstLine="0" w:firstLineChars="0"/>
        <w:textAlignment w:val="auto"/>
        <w:rPr>
          <w:rFonts w:hint="default"/>
          <w:lang w:eastAsia="en-US"/>
        </w:rPr>
      </w:pPr>
      <w:r>
        <w:rPr>
          <w:rFonts w:hint="default" w:ascii="宋体" w:hAnsi="Times New Roman" w:eastAsia="宋体" w:cs="Times New Roman"/>
          <w:snapToGrid/>
          <w:color w:val="000000"/>
          <w:spacing w:val="0"/>
          <w:kern w:val="0"/>
          <w:sz w:val="21"/>
          <w:szCs w:val="20"/>
          <w:lang w:eastAsia="en-US"/>
        </w:rPr>
        <w:t>手工监测的记录和自动监测运维记录按</w:t>
      </w:r>
      <w:r>
        <w:rPr>
          <w:rFonts w:hint="default" w:ascii="宋体" w:hAnsi="Times New Roman" w:eastAsia="宋体" w:cs="Times New Roman"/>
          <w:snapToGrid/>
          <w:color w:val="000000"/>
          <w:spacing w:val="0"/>
          <w:kern w:val="0"/>
          <w:sz w:val="21"/>
          <w:szCs w:val="20"/>
          <w:lang w:val="en-US" w:eastAsia="en-US"/>
        </w:rPr>
        <w:t>HJ</w:t>
      </w:r>
      <w:r>
        <w:rPr>
          <w:rFonts w:hint="eastAsia"/>
          <w:lang w:val="en-US" w:eastAsia="zh-CN"/>
        </w:rPr>
        <w:t xml:space="preserve"> </w:t>
      </w:r>
      <w:r>
        <w:rPr>
          <w:rFonts w:hint="default" w:ascii="宋体" w:hAnsi="Times New Roman" w:eastAsia="宋体" w:cs="Times New Roman"/>
          <w:snapToGrid/>
          <w:color w:val="000000"/>
          <w:spacing w:val="0"/>
          <w:kern w:val="0"/>
          <w:sz w:val="21"/>
          <w:szCs w:val="20"/>
          <w:lang w:val="en-US" w:eastAsia="en-US"/>
        </w:rPr>
        <w:t>819</w:t>
      </w:r>
      <w:r>
        <w:rPr>
          <w:rFonts w:hint="default" w:ascii="宋体" w:hAnsi="Times New Roman" w:eastAsia="宋体" w:cs="Times New Roman"/>
          <w:snapToGrid/>
          <w:color w:val="000000"/>
          <w:spacing w:val="0"/>
          <w:kern w:val="0"/>
          <w:sz w:val="21"/>
          <w:szCs w:val="20"/>
          <w:lang w:eastAsia="en-US"/>
        </w:rPr>
        <w:t>执行。</w:t>
      </w:r>
    </w:p>
    <w:p w14:paraId="0A1FAACF">
      <w:pPr>
        <w:pStyle w:val="24"/>
        <w:keepNext w:val="0"/>
        <w:keepLines w:val="0"/>
        <w:pageBreakBefore w:val="0"/>
        <w:widowControl/>
        <w:numPr>
          <w:ilvl w:val="3"/>
          <w:numId w:val="2"/>
        </w:numPr>
        <w:kinsoku/>
        <w:wordWrap/>
        <w:overflowPunct/>
        <w:topLinePunct w:val="0"/>
        <w:autoSpaceDE/>
        <w:autoSpaceDN/>
        <w:bidi w:val="0"/>
        <w:adjustRightInd/>
        <w:snapToGrid/>
        <w:spacing w:before="283" w:line="423" w:lineRule="auto"/>
        <w:ind w:right="0" w:firstLine="0" w:firstLineChars="0"/>
        <w:textAlignment w:val="auto"/>
        <w:rPr>
          <w:rFonts w:hint="default" w:ascii="宋体" w:hAnsi="Times New Roman" w:eastAsia="宋体" w:cs="Times New Roman"/>
          <w:snapToGrid/>
          <w:color w:val="000000"/>
          <w:spacing w:val="0"/>
          <w:kern w:val="0"/>
          <w:sz w:val="21"/>
          <w:szCs w:val="20"/>
          <w:lang w:eastAsia="en-US"/>
        </w:rPr>
      </w:pPr>
      <w:r>
        <w:rPr>
          <w:rFonts w:hint="default" w:ascii="宋体" w:hAnsi="Times New Roman" w:eastAsia="宋体" w:cs="Times New Roman"/>
          <w:snapToGrid/>
          <w:color w:val="000000"/>
          <w:spacing w:val="0"/>
          <w:kern w:val="0"/>
          <w:sz w:val="21"/>
          <w:szCs w:val="20"/>
          <w:lang w:eastAsia="en-US"/>
        </w:rPr>
        <w:t>排污单位对自动监测数据的真实性、准确性负责，发现数据传输异常应当及时报告，并参照国家标准或自动监测数据异常标记规则执行。</w:t>
      </w:r>
    </w:p>
    <w:p w14:paraId="4B6F062C">
      <w:pPr>
        <w:pStyle w:val="23"/>
        <w:spacing w:before="319" w:beforeLines="100" w:after="319" w:afterLines="100"/>
        <w:ind w:left="0" w:leftChars="0" w:firstLineChars="0"/>
        <w:outlineLvl w:val="0"/>
        <w:rPr>
          <w:rFonts w:hint="eastAsia" w:ascii="黑体" w:hAnsi="Times New Roman" w:eastAsia="黑体" w:cs="Times New Roman"/>
          <w:snapToGrid/>
          <w:color w:val="000000"/>
          <w:spacing w:val="0"/>
          <w:kern w:val="0"/>
          <w:sz w:val="21"/>
          <w:szCs w:val="21"/>
          <w:lang w:val="en-US" w:eastAsia="en-US" w:bidi="ar-SA"/>
        </w:rPr>
      </w:pPr>
      <w:r>
        <w:rPr>
          <w:rFonts w:hint="eastAsia" w:ascii="黑体" w:hAnsi="Times New Roman" w:eastAsia="黑体" w:cs="Times New Roman"/>
          <w:snapToGrid/>
          <w:color w:val="000000"/>
          <w:spacing w:val="0"/>
          <w:kern w:val="0"/>
          <w:sz w:val="21"/>
          <w:szCs w:val="21"/>
          <w:lang w:val="en-US" w:eastAsia="en-US" w:bidi="ar-SA"/>
        </w:rPr>
        <w:t>生产和污染治理设施运行状况信息记录</w:t>
      </w:r>
    </w:p>
    <w:p w14:paraId="2B5B24B9">
      <w:pPr>
        <w:pStyle w:val="23"/>
        <w:numPr>
          <w:ilvl w:val="3"/>
          <w:numId w:val="2"/>
        </w:numPr>
        <w:outlineLvl w:val="2"/>
      </w:pPr>
      <w:r>
        <w:rPr>
          <w:rFonts w:hint="eastAsia"/>
          <w:lang w:val="en-US" w:eastAsia="en-US"/>
        </w:rPr>
        <w:t>一般规定</w:t>
      </w:r>
    </w:p>
    <w:p w14:paraId="1B662205">
      <w:pPr>
        <w:pStyle w:val="13"/>
        <w:keepNext w:val="0"/>
        <w:keepLines w:val="0"/>
        <w:pageBreakBefore w:val="0"/>
        <w:widowControl w:val="0"/>
        <w:kinsoku/>
        <w:wordWrap/>
        <w:overflowPunct/>
        <w:topLinePunct w:val="0"/>
        <w:autoSpaceDE/>
        <w:autoSpaceDN/>
        <w:bidi w:val="0"/>
        <w:adjustRightInd/>
        <w:snapToGrid/>
        <w:spacing w:before="62" w:line="423" w:lineRule="auto"/>
        <w:ind w:right="158" w:firstLineChars="200"/>
        <w:textAlignment w:val="auto"/>
        <w:rPr>
          <w:rFonts w:hint="eastAsia"/>
          <w:lang w:eastAsia="en-US"/>
        </w:rPr>
      </w:pPr>
      <w:r>
        <w:rPr>
          <w:rFonts w:hint="eastAsia"/>
          <w:lang w:eastAsia="en-US"/>
        </w:rPr>
        <w:t>排污单位应详细记录生产及污染治理设施运行状况，日常生产中也应参照</w:t>
      </w:r>
      <w:r>
        <w:rPr>
          <w:rFonts w:hint="eastAsia"/>
          <w:lang w:val="en-US" w:eastAsia="zh-CN"/>
        </w:rPr>
        <w:t>本文件</w:t>
      </w:r>
      <w:r>
        <w:rPr>
          <w:rFonts w:hint="eastAsia"/>
          <w:lang w:val="en-US" w:eastAsia="en-US"/>
        </w:rPr>
        <w:fldChar w:fldCharType="begin"/>
      </w:r>
      <w:r>
        <w:rPr>
          <w:rFonts w:hint="eastAsia"/>
          <w:lang w:val="en-US" w:eastAsia="en-US"/>
        </w:rPr>
        <w:instrText xml:space="preserve"> HYPERLINK "6.1.2.2" </w:instrText>
      </w:r>
      <w:r>
        <w:rPr>
          <w:rFonts w:hint="eastAsia"/>
          <w:lang w:val="en-US" w:eastAsia="en-US"/>
        </w:rPr>
        <w:fldChar w:fldCharType="separate"/>
      </w:r>
      <w:r>
        <w:rPr>
          <w:rFonts w:hint="eastAsia"/>
          <w:lang w:val="en-US" w:eastAsia="en-US"/>
        </w:rPr>
        <w:t>6.1.2.2</w:t>
      </w:r>
      <w:r>
        <w:rPr>
          <w:rFonts w:hint="eastAsia"/>
          <w:lang w:val="en-US" w:eastAsia="en-US"/>
        </w:rPr>
        <w:fldChar w:fldCharType="end"/>
      </w:r>
      <w:r>
        <w:rPr>
          <w:rFonts w:hint="eastAsia"/>
          <w:lang w:val="en-US" w:eastAsia="zh-CN"/>
        </w:rPr>
        <w:t>条</w:t>
      </w:r>
      <w:r>
        <w:rPr>
          <w:rFonts w:hint="eastAsia"/>
          <w:lang w:val="en-US" w:eastAsia="en-US"/>
        </w:rPr>
        <w:t>～</w:t>
      </w:r>
      <w:r>
        <w:rPr>
          <w:rFonts w:hint="eastAsia"/>
          <w:lang w:val="en-US" w:eastAsia="en-US"/>
        </w:rPr>
        <w:fldChar w:fldCharType="begin"/>
      </w:r>
      <w:r>
        <w:rPr>
          <w:rFonts w:hint="eastAsia"/>
          <w:lang w:val="en-US" w:eastAsia="en-US"/>
        </w:rPr>
        <w:instrText xml:space="preserve"> HYPERLINK "6.1.2.5" </w:instrText>
      </w:r>
      <w:r>
        <w:rPr>
          <w:rFonts w:hint="eastAsia"/>
          <w:lang w:val="en-US" w:eastAsia="en-US"/>
        </w:rPr>
        <w:fldChar w:fldCharType="separate"/>
      </w:r>
      <w:r>
        <w:rPr>
          <w:rFonts w:hint="eastAsia"/>
          <w:lang w:val="en-US" w:eastAsia="en-US"/>
        </w:rPr>
        <w:t>6.1.2.5</w:t>
      </w:r>
      <w:r>
        <w:rPr>
          <w:rFonts w:hint="eastAsia"/>
          <w:lang w:val="en-US" w:eastAsia="en-US"/>
        </w:rPr>
        <w:fldChar w:fldCharType="end"/>
      </w:r>
      <w:r>
        <w:rPr>
          <w:rFonts w:hint="eastAsia"/>
          <w:lang w:val="en-US" w:eastAsia="zh-CN"/>
        </w:rPr>
        <w:t>条</w:t>
      </w:r>
      <w:r>
        <w:rPr>
          <w:rFonts w:hint="eastAsia"/>
          <w:lang w:eastAsia="en-US"/>
        </w:rPr>
        <w:t>记录相关信息，并整理成台账保存备查。</w:t>
      </w:r>
    </w:p>
    <w:p w14:paraId="52EA2CEB">
      <w:pPr>
        <w:pStyle w:val="23"/>
        <w:numPr>
          <w:ilvl w:val="3"/>
          <w:numId w:val="2"/>
        </w:numPr>
        <w:spacing w:before="319" w:beforeLines="100" w:after="319" w:afterLines="100"/>
        <w:outlineLvl w:val="0"/>
        <w:rPr>
          <w:rFonts w:hint="eastAsia"/>
          <w:lang w:val="en-US" w:eastAsia="en-US"/>
        </w:rPr>
      </w:pPr>
      <w:r>
        <w:rPr>
          <w:rFonts w:hint="eastAsia"/>
          <w:lang w:val="en-US" w:eastAsia="en-US"/>
        </w:rPr>
        <w:t>生产运行状况记录</w:t>
      </w:r>
    </w:p>
    <w:p w14:paraId="68CBA057">
      <w:pPr>
        <w:pStyle w:val="13"/>
        <w:keepNext w:val="0"/>
        <w:keepLines w:val="0"/>
        <w:pageBreakBefore w:val="0"/>
        <w:widowControl w:val="0"/>
        <w:kinsoku/>
        <w:wordWrap/>
        <w:overflowPunct/>
        <w:topLinePunct w:val="0"/>
        <w:autoSpaceDE/>
        <w:autoSpaceDN/>
        <w:bidi w:val="0"/>
        <w:adjustRightInd/>
        <w:snapToGrid/>
        <w:spacing w:line="423" w:lineRule="auto"/>
        <w:ind w:firstLineChars="200"/>
        <w:textAlignment w:val="auto"/>
        <w:rPr>
          <w:rFonts w:hint="default" w:ascii="宋体" w:hAnsi="Times New Roman" w:eastAsia="宋体" w:cs="Times New Roman"/>
          <w:snapToGrid/>
          <w:color w:val="auto"/>
          <w:spacing w:val="0"/>
          <w:kern w:val="0"/>
          <w:sz w:val="21"/>
          <w:szCs w:val="20"/>
          <w:lang w:eastAsia="en-US"/>
        </w:rPr>
      </w:pPr>
      <w:r>
        <w:rPr>
          <w:rFonts w:hint="default" w:ascii="宋体" w:hAnsi="Times New Roman" w:eastAsia="宋体" w:cs="Times New Roman"/>
          <w:snapToGrid/>
          <w:color w:val="auto"/>
          <w:spacing w:val="0"/>
          <w:kern w:val="0"/>
          <w:sz w:val="21"/>
          <w:szCs w:val="20"/>
          <w:lang w:eastAsia="en-US"/>
        </w:rPr>
        <w:t>按班次记录正常工况以下相关信息：</w:t>
      </w:r>
    </w:p>
    <w:p w14:paraId="34E6C31C">
      <w:pPr>
        <w:pStyle w:val="25"/>
        <w:numPr>
          <w:ilvl w:val="0"/>
          <w:numId w:val="5"/>
        </w:numPr>
        <w:rPr>
          <w:rFonts w:hint="default"/>
          <w:lang w:eastAsia="en-US"/>
        </w:rPr>
      </w:pPr>
      <w:r>
        <w:rPr>
          <w:rFonts w:hint="default" w:ascii="宋体" w:hAnsi="Times New Roman" w:eastAsia="宋体" w:cs="Times New Roman"/>
          <w:snapToGrid/>
          <w:spacing w:val="0"/>
          <w:kern w:val="0"/>
          <w:sz w:val="21"/>
          <w:szCs w:val="20"/>
          <w:lang w:eastAsia="en-US"/>
        </w:rPr>
        <w:t>主要生产设施的累计生产时间、生产负荷、主要产品产量、原辅料、吸附剂用量、及燃料采购和使用情况（包括种类、名称、用量、有毒有害元素成分及占比）等；</w:t>
      </w:r>
    </w:p>
    <w:p w14:paraId="7D222EBD">
      <w:pPr>
        <w:pStyle w:val="25"/>
        <w:numPr>
          <w:ilvl w:val="0"/>
          <w:numId w:val="5"/>
        </w:numPr>
        <w:rPr>
          <w:rFonts w:hint="default" w:ascii="宋体" w:hAnsi="Times New Roman" w:eastAsia="宋体" w:cs="Times New Roman"/>
          <w:snapToGrid/>
          <w:spacing w:val="0"/>
          <w:kern w:val="0"/>
          <w:sz w:val="21"/>
          <w:szCs w:val="20"/>
          <w:lang w:eastAsia="en-US"/>
        </w:rPr>
      </w:pPr>
      <w:r>
        <w:rPr>
          <w:rFonts w:hint="default" w:ascii="宋体" w:hAnsi="Times New Roman" w:eastAsia="宋体" w:cs="Times New Roman"/>
          <w:snapToGrid/>
          <w:spacing w:val="0"/>
          <w:kern w:val="0"/>
          <w:sz w:val="21"/>
          <w:szCs w:val="20"/>
          <w:lang w:eastAsia="en-US"/>
        </w:rPr>
        <w:t>产品产量、产出率及物料平衡；</w:t>
      </w:r>
    </w:p>
    <w:p w14:paraId="655E80C1">
      <w:pPr>
        <w:pStyle w:val="25"/>
        <w:numPr>
          <w:ilvl w:val="0"/>
          <w:numId w:val="5"/>
        </w:numPr>
        <w:rPr>
          <w:rFonts w:hint="default" w:ascii="宋体" w:hAnsi="Times New Roman" w:eastAsia="宋体" w:cs="Times New Roman"/>
          <w:snapToGrid/>
          <w:spacing w:val="0"/>
          <w:kern w:val="0"/>
          <w:sz w:val="21"/>
          <w:szCs w:val="20"/>
          <w:lang w:eastAsia="en-US"/>
        </w:rPr>
      </w:pPr>
      <w:r>
        <w:rPr>
          <w:rFonts w:hint="default" w:ascii="宋体" w:hAnsi="Times New Roman" w:eastAsia="宋体" w:cs="Times New Roman"/>
          <w:snapToGrid/>
          <w:spacing w:val="0"/>
          <w:kern w:val="0"/>
          <w:sz w:val="21"/>
          <w:szCs w:val="20"/>
          <w:lang w:eastAsia="en-US"/>
        </w:rPr>
        <w:t>新鲜取水量、用水量、用电量等；</w:t>
      </w:r>
    </w:p>
    <w:p w14:paraId="70C1E72F">
      <w:pPr>
        <w:pStyle w:val="25"/>
        <w:numPr>
          <w:ilvl w:val="0"/>
          <w:numId w:val="5"/>
        </w:numPr>
        <w:rPr>
          <w:rFonts w:hint="default" w:ascii="宋体" w:hAnsi="Times New Roman" w:eastAsia="宋体" w:cs="Times New Roman"/>
          <w:snapToGrid/>
          <w:spacing w:val="0"/>
          <w:kern w:val="0"/>
          <w:sz w:val="21"/>
          <w:szCs w:val="20"/>
          <w:lang w:eastAsia="en-US"/>
        </w:rPr>
      </w:pPr>
      <w:r>
        <w:rPr>
          <w:rFonts w:hint="default" w:ascii="宋体" w:hAnsi="Times New Roman" w:eastAsia="宋体" w:cs="Times New Roman"/>
          <w:snapToGrid/>
          <w:spacing w:val="0"/>
          <w:kern w:val="0"/>
          <w:sz w:val="21"/>
          <w:szCs w:val="20"/>
          <w:lang w:eastAsia="en-US"/>
        </w:rPr>
        <w:t>主要生产设备、设施的操作使用记录；</w:t>
      </w:r>
    </w:p>
    <w:p w14:paraId="04E52F1B">
      <w:pPr>
        <w:pStyle w:val="23"/>
        <w:numPr>
          <w:ilvl w:val="3"/>
          <w:numId w:val="2"/>
        </w:numPr>
        <w:spacing w:before="319" w:beforeLines="100" w:after="319" w:afterLines="100"/>
        <w:outlineLvl w:val="0"/>
        <w:rPr>
          <w:rFonts w:hint="eastAsia" w:ascii="黑体" w:hAnsi="Times New Roman" w:eastAsia="黑体" w:cs="Times New Roman"/>
          <w:snapToGrid/>
          <w:color w:val="000000"/>
          <w:spacing w:val="0"/>
          <w:kern w:val="0"/>
          <w:sz w:val="21"/>
          <w:szCs w:val="21"/>
          <w:lang w:val="en-US" w:eastAsia="en-US" w:bidi="ar-SA"/>
        </w:rPr>
      </w:pPr>
      <w:r>
        <w:rPr>
          <w:rFonts w:hint="eastAsia" w:ascii="黑体" w:hAnsi="Times New Roman" w:eastAsia="黑体" w:cs="Times New Roman"/>
          <w:snapToGrid/>
          <w:color w:val="000000"/>
          <w:spacing w:val="0"/>
          <w:kern w:val="0"/>
          <w:sz w:val="21"/>
          <w:szCs w:val="21"/>
          <w:lang w:val="en-US" w:eastAsia="en-US" w:bidi="ar-SA"/>
        </w:rPr>
        <w:t>废气污染治理设施运行状况记录</w:t>
      </w:r>
    </w:p>
    <w:p w14:paraId="0A116F55">
      <w:pPr>
        <w:pStyle w:val="13"/>
        <w:keepNext w:val="0"/>
        <w:keepLines w:val="0"/>
        <w:pageBreakBefore w:val="0"/>
        <w:widowControl w:val="0"/>
        <w:kinsoku/>
        <w:wordWrap/>
        <w:overflowPunct/>
        <w:topLinePunct w:val="0"/>
        <w:autoSpaceDE/>
        <w:autoSpaceDN/>
        <w:bidi w:val="0"/>
        <w:adjustRightInd/>
        <w:snapToGrid/>
        <w:spacing w:line="423" w:lineRule="auto"/>
        <w:ind w:firstLineChars="200"/>
        <w:textAlignment w:val="auto"/>
        <w:outlineLvl w:val="2"/>
        <w:rPr>
          <w:rFonts w:ascii="宋体" w:hAnsi="Times New Roman"/>
          <w:sz w:val="21"/>
          <w:szCs w:val="20"/>
          <w:lang w:eastAsia="en-US"/>
        </w:rPr>
      </w:pPr>
      <w:r>
        <w:rPr>
          <w:rFonts w:hint="default" w:ascii="宋体" w:hAnsi="Times New Roman" w:eastAsia="宋体" w:cs="Times New Roman"/>
          <w:snapToGrid/>
          <w:color w:val="000000"/>
          <w:spacing w:val="0"/>
          <w:kern w:val="0"/>
          <w:sz w:val="21"/>
          <w:szCs w:val="20"/>
          <w:lang w:eastAsia="en-US"/>
        </w:rPr>
        <w:t>按更换批次记录废气处理使用的吸附剂、过滤材料等耗材的名称和用量；记录废气处理设施运行参数、故障及维护情况等。</w:t>
      </w:r>
    </w:p>
    <w:p w14:paraId="57F39754">
      <w:pPr>
        <w:pStyle w:val="23"/>
        <w:numPr>
          <w:ilvl w:val="3"/>
          <w:numId w:val="2"/>
        </w:numPr>
        <w:spacing w:before="319" w:beforeLines="100" w:after="319" w:afterLines="100"/>
        <w:outlineLvl w:val="0"/>
        <w:rPr>
          <w:rFonts w:hint="eastAsia" w:ascii="黑体" w:hAnsi="Times New Roman" w:eastAsia="黑体" w:cs="Times New Roman"/>
          <w:snapToGrid/>
          <w:color w:val="000000"/>
          <w:spacing w:val="0"/>
          <w:kern w:val="0"/>
          <w:sz w:val="21"/>
          <w:szCs w:val="21"/>
          <w:lang w:val="en-US" w:eastAsia="en-US" w:bidi="ar-SA"/>
        </w:rPr>
      </w:pPr>
      <w:r>
        <w:rPr>
          <w:rFonts w:hint="eastAsia" w:ascii="黑体" w:hAnsi="Times New Roman" w:eastAsia="黑体" w:cs="Times New Roman"/>
          <w:snapToGrid/>
          <w:color w:val="000000"/>
          <w:spacing w:val="0"/>
          <w:kern w:val="0"/>
          <w:sz w:val="21"/>
          <w:szCs w:val="21"/>
          <w:lang w:val="en-US" w:eastAsia="en-US" w:bidi="ar-SA"/>
        </w:rPr>
        <w:t>废水污染治理设施运行状况记录</w:t>
      </w:r>
    </w:p>
    <w:p w14:paraId="11878E64">
      <w:pPr>
        <w:pStyle w:val="13"/>
        <w:keepNext w:val="0"/>
        <w:keepLines w:val="0"/>
        <w:pageBreakBefore w:val="0"/>
        <w:widowControl w:val="0"/>
        <w:kinsoku/>
        <w:wordWrap/>
        <w:overflowPunct/>
        <w:topLinePunct w:val="0"/>
        <w:autoSpaceDE/>
        <w:autoSpaceDN/>
        <w:bidi w:val="0"/>
        <w:adjustRightInd/>
        <w:snapToGrid/>
        <w:spacing w:line="423" w:lineRule="auto"/>
        <w:ind w:firstLineChars="200"/>
        <w:textAlignment w:val="auto"/>
        <w:rPr>
          <w:rFonts w:hint="eastAsia" w:ascii="宋体" w:hAnsi="Times New Roman" w:eastAsia="宋体" w:cs="Times New Roman"/>
          <w:snapToGrid/>
          <w:spacing w:val="0"/>
          <w:kern w:val="0"/>
          <w:sz w:val="21"/>
          <w:szCs w:val="20"/>
          <w:lang w:eastAsia="zh-CN"/>
        </w:rPr>
      </w:pPr>
      <w:r>
        <w:rPr>
          <w:rFonts w:hint="default" w:ascii="宋体" w:hAnsi="Times New Roman" w:eastAsia="宋体" w:cs="Times New Roman"/>
          <w:snapToGrid/>
          <w:color w:val="000000"/>
          <w:spacing w:val="0"/>
          <w:kern w:val="0"/>
          <w:sz w:val="21"/>
          <w:szCs w:val="20"/>
          <w:lang w:eastAsia="en-US"/>
        </w:rPr>
        <w:t>按班次记录</w:t>
      </w:r>
      <w:r>
        <w:rPr>
          <w:rFonts w:hint="eastAsia" w:cs="Times New Roman"/>
          <w:snapToGrid/>
          <w:spacing w:val="0"/>
          <w:kern w:val="0"/>
          <w:sz w:val="21"/>
          <w:szCs w:val="20"/>
          <w:lang w:eastAsia="zh-CN"/>
        </w:rPr>
        <w:t>：</w:t>
      </w:r>
    </w:p>
    <w:p w14:paraId="6438B1E7">
      <w:pPr>
        <w:pStyle w:val="25"/>
        <w:numPr>
          <w:ilvl w:val="0"/>
          <w:numId w:val="6"/>
        </w:numPr>
        <w:rPr>
          <w:rFonts w:hint="eastAsia"/>
          <w:lang w:eastAsia="zh-CN"/>
        </w:rPr>
      </w:pPr>
      <w:r>
        <w:rPr>
          <w:rFonts w:hint="default" w:ascii="宋体" w:hAnsi="Times New Roman" w:eastAsia="宋体" w:cs="Times New Roman"/>
          <w:snapToGrid/>
          <w:spacing w:val="0"/>
          <w:kern w:val="0"/>
          <w:sz w:val="21"/>
          <w:szCs w:val="20"/>
          <w:lang w:eastAsia="en-US"/>
        </w:rPr>
        <w:t>废水处理量</w:t>
      </w:r>
      <w:r>
        <w:rPr>
          <w:rFonts w:hint="eastAsia"/>
          <w:lang w:eastAsia="zh-CN"/>
        </w:rPr>
        <w:t>、</w:t>
      </w:r>
      <w:r>
        <w:rPr>
          <w:rFonts w:hint="default" w:ascii="宋体" w:hAnsi="Times New Roman" w:eastAsia="宋体" w:cs="Times New Roman"/>
          <w:snapToGrid/>
          <w:spacing w:val="0"/>
          <w:kern w:val="0"/>
          <w:sz w:val="21"/>
          <w:szCs w:val="20"/>
          <w:lang w:eastAsia="en-US"/>
        </w:rPr>
        <w:t>回用水量</w:t>
      </w:r>
      <w:r>
        <w:rPr>
          <w:rFonts w:hint="eastAsia"/>
          <w:lang w:eastAsia="zh-CN"/>
        </w:rPr>
        <w:t>、</w:t>
      </w:r>
      <w:r>
        <w:rPr>
          <w:rFonts w:hint="default" w:ascii="宋体" w:hAnsi="Times New Roman" w:eastAsia="宋体" w:cs="Times New Roman"/>
          <w:snapToGrid/>
          <w:spacing w:val="0"/>
          <w:kern w:val="0"/>
          <w:sz w:val="21"/>
          <w:szCs w:val="20"/>
          <w:lang w:eastAsia="en-US"/>
        </w:rPr>
        <w:t>废水排放量、排放去向、污泥产生量（记录含水率）</w:t>
      </w:r>
      <w:r>
        <w:rPr>
          <w:rFonts w:hint="eastAsia"/>
          <w:lang w:eastAsia="zh-CN"/>
        </w:rPr>
        <w:t>；</w:t>
      </w:r>
    </w:p>
    <w:p w14:paraId="326E1537">
      <w:pPr>
        <w:pStyle w:val="25"/>
        <w:numPr>
          <w:ilvl w:val="0"/>
          <w:numId w:val="6"/>
        </w:numPr>
        <w:rPr>
          <w:rFonts w:hint="default"/>
          <w:lang w:eastAsia="en-US"/>
        </w:rPr>
      </w:pPr>
      <w:r>
        <w:rPr>
          <w:rFonts w:hint="default" w:ascii="宋体" w:hAnsi="Times New Roman" w:eastAsia="宋体" w:cs="Times New Roman"/>
          <w:snapToGrid/>
          <w:spacing w:val="0"/>
          <w:kern w:val="0"/>
          <w:sz w:val="21"/>
          <w:szCs w:val="20"/>
          <w:lang w:eastAsia="en-US"/>
        </w:rPr>
        <w:t>污水处理使用的药剂名称及用量、用电量等；</w:t>
      </w:r>
    </w:p>
    <w:p w14:paraId="5ED63614">
      <w:pPr>
        <w:pStyle w:val="25"/>
        <w:numPr>
          <w:ilvl w:val="0"/>
          <w:numId w:val="6"/>
        </w:numPr>
        <w:rPr>
          <w:rFonts w:hint="default" w:ascii="宋体" w:hAnsi="Times New Roman" w:eastAsia="宋体" w:cs="Times New Roman"/>
          <w:snapToGrid/>
          <w:spacing w:val="0"/>
          <w:kern w:val="0"/>
          <w:sz w:val="21"/>
          <w:szCs w:val="20"/>
          <w:lang w:eastAsia="en-US"/>
        </w:rPr>
      </w:pPr>
      <w:r>
        <w:rPr>
          <w:rFonts w:hint="default" w:ascii="宋体" w:hAnsi="Times New Roman" w:eastAsia="宋体" w:cs="Times New Roman"/>
          <w:snapToGrid/>
          <w:spacing w:val="0"/>
          <w:kern w:val="0"/>
          <w:sz w:val="21"/>
          <w:szCs w:val="20"/>
          <w:lang w:eastAsia="en-US"/>
        </w:rPr>
        <w:t>污水处理设施运行、故障及维护情况等。</w:t>
      </w:r>
    </w:p>
    <w:p w14:paraId="25C98801">
      <w:pPr>
        <w:pStyle w:val="23"/>
        <w:numPr>
          <w:ilvl w:val="3"/>
          <w:numId w:val="2"/>
        </w:numPr>
        <w:spacing w:before="319" w:beforeLines="100" w:after="319" w:afterLines="100"/>
        <w:outlineLvl w:val="0"/>
        <w:rPr>
          <w:rFonts w:hint="eastAsia" w:ascii="黑体" w:hAnsi="Times New Roman" w:eastAsia="黑体" w:cs="Times New Roman"/>
          <w:snapToGrid/>
          <w:color w:val="000000"/>
          <w:spacing w:val="0"/>
          <w:kern w:val="0"/>
          <w:sz w:val="21"/>
          <w:szCs w:val="21"/>
          <w:lang w:val="en-US" w:eastAsia="en-US" w:bidi="ar-SA"/>
        </w:rPr>
      </w:pPr>
      <w:r>
        <w:rPr>
          <w:rFonts w:hint="eastAsia" w:ascii="黑体" w:hAnsi="Times New Roman" w:eastAsia="黑体" w:cs="Times New Roman"/>
          <w:snapToGrid/>
          <w:color w:val="000000"/>
          <w:spacing w:val="0"/>
          <w:kern w:val="0"/>
          <w:sz w:val="21"/>
          <w:szCs w:val="21"/>
          <w:lang w:val="en-US" w:eastAsia="en-US" w:bidi="ar-SA"/>
        </w:rPr>
        <w:t>噪声污染治理设施运行情况记录</w:t>
      </w:r>
    </w:p>
    <w:p w14:paraId="048E4695">
      <w:pPr>
        <w:pStyle w:val="13"/>
        <w:keepNext w:val="0"/>
        <w:keepLines w:val="0"/>
        <w:pageBreakBefore w:val="0"/>
        <w:widowControl w:val="0"/>
        <w:kinsoku/>
        <w:wordWrap/>
        <w:overflowPunct/>
        <w:topLinePunct w:val="0"/>
        <w:autoSpaceDE/>
        <w:autoSpaceDN/>
        <w:bidi w:val="0"/>
        <w:adjustRightInd/>
        <w:snapToGrid/>
        <w:spacing w:line="423" w:lineRule="auto"/>
        <w:ind w:firstLineChars="200"/>
        <w:textAlignment w:val="auto"/>
        <w:rPr>
          <w:rFonts w:hint="default" w:ascii="宋体" w:hAnsi="Times New Roman" w:eastAsia="宋体" w:cs="Times New Roman"/>
          <w:snapToGrid/>
          <w:spacing w:val="0"/>
          <w:kern w:val="0"/>
          <w:szCs w:val="20"/>
          <w:lang w:eastAsia="en-US"/>
        </w:rPr>
      </w:pPr>
      <w:r>
        <w:rPr>
          <w:rFonts w:hint="default" w:ascii="宋体" w:hAnsi="Times New Roman" w:eastAsia="宋体" w:cs="Times New Roman"/>
          <w:snapToGrid/>
          <w:color w:val="000000"/>
          <w:spacing w:val="0"/>
          <w:kern w:val="0"/>
          <w:sz w:val="21"/>
          <w:szCs w:val="20"/>
          <w:lang w:eastAsia="en-US"/>
        </w:rPr>
        <w:t>记录噪声污染治理设施日常巡检、故障及维护或更换情况等。</w:t>
      </w:r>
    </w:p>
    <w:p w14:paraId="7870E237">
      <w:pPr>
        <w:pStyle w:val="23"/>
        <w:keepNext w:val="0"/>
        <w:keepLines w:val="0"/>
        <w:pageBreakBefore w:val="0"/>
        <w:widowControl/>
        <w:kinsoku/>
        <w:wordWrap/>
        <w:overflowPunct/>
        <w:topLinePunct w:val="0"/>
        <w:autoSpaceDE/>
        <w:autoSpaceDN/>
        <w:bidi w:val="0"/>
        <w:adjustRightInd/>
        <w:snapToGrid/>
        <w:spacing w:before="283"/>
        <w:ind w:left="0" w:leftChars="0" w:firstLineChars="0"/>
        <w:textAlignment w:val="auto"/>
        <w:outlineLvl w:val="0"/>
        <w:rPr>
          <w:rFonts w:hint="eastAsia"/>
          <w:lang w:val="en-US" w:eastAsia="en-US"/>
        </w:rPr>
      </w:pPr>
      <w:r>
        <w:rPr>
          <w:rFonts w:hint="eastAsia"/>
          <w:lang w:val="en-US" w:eastAsia="en-US"/>
        </w:rPr>
        <w:t>工业固体废物记录</w:t>
      </w:r>
    </w:p>
    <w:p w14:paraId="0A9E0BA9">
      <w:pPr>
        <w:pStyle w:val="24"/>
        <w:numPr>
          <w:ilvl w:val="3"/>
          <w:numId w:val="2"/>
        </w:numPr>
        <w:spacing w:before="319" w:beforeLines="100" w:after="319" w:afterLines="100"/>
        <w:ind w:firstLine="0" w:firstLineChars="0"/>
        <w:outlineLvl w:val="0"/>
        <w:rPr>
          <w:rFonts w:hint="default"/>
          <w:lang w:eastAsia="en-US"/>
        </w:rPr>
      </w:pPr>
      <w:r>
        <w:rPr>
          <w:rFonts w:hint="default" w:ascii="宋体" w:hAnsi="Times New Roman" w:eastAsia="宋体" w:cs="Times New Roman"/>
          <w:snapToGrid/>
          <w:color w:val="000000"/>
          <w:spacing w:val="0"/>
          <w:kern w:val="0"/>
          <w:sz w:val="21"/>
          <w:szCs w:val="20"/>
          <w:lang w:val="en-US" w:eastAsia="en-US"/>
        </w:rPr>
        <w:t>按HJ 819要求记录工业固体废物的相关信息。</w:t>
      </w:r>
      <w:r>
        <w:rPr>
          <w:rFonts w:hint="default" w:ascii="宋体" w:hAnsi="Times New Roman" w:eastAsia="宋体" w:cs="Times New Roman"/>
          <w:snapToGrid/>
          <w:color w:val="000000"/>
          <w:spacing w:val="0"/>
          <w:kern w:val="0"/>
          <w:sz w:val="21"/>
          <w:szCs w:val="20"/>
          <w:lang w:eastAsia="en-US"/>
        </w:rPr>
        <w:t>。</w:t>
      </w:r>
    </w:p>
    <w:p w14:paraId="2EA4B89F">
      <w:pPr>
        <w:spacing w:before="319" w:beforeLines="100" w:after="319" w:afterLines="100"/>
        <w:outlineLvl w:val="0"/>
        <w:rPr>
          <w:rFonts w:hint="eastAsia" w:ascii="黑体" w:hAnsi="黑体" w:eastAsia="黑体" w:cs="黑体"/>
          <w:snapToGrid w:val="0"/>
          <w:color w:val="auto"/>
          <w:spacing w:val="6"/>
          <w:kern w:val="0"/>
          <w:sz w:val="21"/>
          <w:szCs w:val="21"/>
          <w:lang w:val="en-US" w:eastAsia="en-US" w:bidi="ar-SA"/>
        </w:rPr>
      </w:pPr>
      <w:r>
        <w:rPr>
          <w:rFonts w:hint="eastAsia" w:ascii="黑体" w:hAnsi="黑体" w:eastAsia="黑体" w:cs="黑体"/>
          <w:snapToGrid w:val="0"/>
          <w:color w:val="auto"/>
          <w:spacing w:val="6"/>
          <w:kern w:val="0"/>
          <w:sz w:val="21"/>
          <w:szCs w:val="21"/>
          <w:lang w:val="en-US" w:eastAsia="en-US" w:bidi="ar-SA"/>
        </w:rPr>
        <w:t>6.2</w:t>
      </w:r>
      <w:r>
        <w:rPr>
          <w:rFonts w:hint="eastAsia" w:ascii="黑体" w:hAnsi="黑体" w:eastAsia="黑体" w:cs="黑体"/>
          <w:snapToGrid w:val="0"/>
          <w:color w:val="auto"/>
          <w:spacing w:val="6"/>
          <w:kern w:val="0"/>
          <w:sz w:val="21"/>
          <w:szCs w:val="21"/>
          <w:lang w:val="en-US" w:eastAsia="zh-CN" w:bidi="ar-SA"/>
        </w:rPr>
        <w:t xml:space="preserve">  </w:t>
      </w:r>
      <w:r>
        <w:rPr>
          <w:rFonts w:hint="eastAsia" w:ascii="黑体" w:hAnsi="黑体" w:eastAsia="黑体" w:cs="黑体"/>
          <w:snapToGrid w:val="0"/>
          <w:color w:val="auto"/>
          <w:spacing w:val="6"/>
          <w:kern w:val="0"/>
          <w:sz w:val="21"/>
          <w:szCs w:val="21"/>
          <w:lang w:val="en-US" w:eastAsia="en-US" w:bidi="ar-SA"/>
        </w:rPr>
        <w:t>信息公开</w:t>
      </w:r>
    </w:p>
    <w:p w14:paraId="34A7251A">
      <w:pPr>
        <w:pStyle w:val="13"/>
        <w:ind w:firstLineChars="200"/>
        <w:rPr>
          <w:rFonts w:hint="default" w:hAnsi="Times New Roman"/>
          <w:color w:val="auto"/>
          <w:sz w:val="21"/>
          <w:szCs w:val="20"/>
          <w:lang w:eastAsia="en-US"/>
        </w:rPr>
      </w:pPr>
      <w:r>
        <w:rPr>
          <w:rFonts w:hint="default" w:ascii="宋体" w:hAnsi="Times New Roman" w:eastAsia="宋体" w:cs="Times New Roman"/>
          <w:snapToGrid/>
          <w:color w:val="auto"/>
          <w:spacing w:val="0"/>
          <w:kern w:val="0"/>
          <w:sz w:val="21"/>
          <w:szCs w:val="20"/>
          <w:lang w:eastAsia="en-US"/>
        </w:rPr>
        <w:t>信息报告、应急报告和信息公开按照HJ</w:t>
      </w:r>
      <w:r>
        <w:rPr>
          <w:rFonts w:hint="eastAsia" w:cs="Times New Roman"/>
          <w:snapToGrid/>
          <w:spacing w:val="0"/>
          <w:kern w:val="0"/>
          <w:sz w:val="21"/>
          <w:szCs w:val="20"/>
          <w:lang w:val="en-US" w:eastAsia="zh-CN"/>
        </w:rPr>
        <w:t xml:space="preserve"> </w:t>
      </w:r>
      <w:r>
        <w:rPr>
          <w:rFonts w:hint="default" w:ascii="宋体" w:hAnsi="Times New Roman" w:eastAsia="宋体" w:cs="Times New Roman"/>
          <w:snapToGrid/>
          <w:color w:val="auto"/>
          <w:spacing w:val="0"/>
          <w:kern w:val="0"/>
          <w:sz w:val="21"/>
          <w:szCs w:val="20"/>
          <w:lang w:eastAsia="en-US"/>
        </w:rPr>
        <w:t>819执行。</w:t>
      </w:r>
    </w:p>
    <w:p w14:paraId="38B91046">
      <w:pPr>
        <w:spacing w:before="319" w:beforeLines="100" w:after="319" w:afterLines="100"/>
        <w:outlineLvl w:val="0"/>
        <w:rPr>
          <w:rFonts w:hint="eastAsia" w:ascii="黑体" w:hAnsi="黑体" w:eastAsia="黑体" w:cs="黑体"/>
          <w:snapToGrid w:val="0"/>
          <w:color w:val="000000"/>
          <w:spacing w:val="6"/>
          <w:kern w:val="0"/>
          <w:sz w:val="20"/>
          <w:szCs w:val="20"/>
          <w:lang w:val="en-US" w:eastAsia="en-US" w:bidi="ar-SA"/>
        </w:rPr>
      </w:pPr>
      <w:bookmarkStart w:id="16" w:name="_Toc31726"/>
      <w:bookmarkStart w:id="17" w:name="_Toc2058"/>
      <w:r>
        <w:rPr>
          <w:rFonts w:hint="eastAsia" w:ascii="黑体" w:hAnsi="黑体" w:eastAsia="黑体" w:cs="黑体"/>
          <w:snapToGrid w:val="0"/>
          <w:color w:val="000000"/>
          <w:spacing w:val="6"/>
          <w:kern w:val="0"/>
          <w:sz w:val="20"/>
          <w:szCs w:val="20"/>
          <w:lang w:val="en-US" w:eastAsia="en-US" w:bidi="ar-SA"/>
        </w:rPr>
        <w:t>7  其他</w:t>
      </w:r>
      <w:bookmarkEnd w:id="16"/>
      <w:bookmarkEnd w:id="17"/>
    </w:p>
    <w:p w14:paraId="4E0D0316">
      <w:pPr>
        <w:pStyle w:val="13"/>
        <w:keepNext w:val="0"/>
        <w:keepLines w:val="0"/>
        <w:pageBreakBefore w:val="0"/>
        <w:widowControl w:val="0"/>
        <w:kinsoku/>
        <w:wordWrap/>
        <w:overflowPunct/>
        <w:topLinePunct w:val="0"/>
        <w:autoSpaceDE/>
        <w:autoSpaceDN/>
        <w:bidi w:val="0"/>
        <w:adjustRightInd/>
        <w:snapToGrid/>
        <w:spacing w:line="423" w:lineRule="auto"/>
        <w:ind w:firstLineChars="200"/>
        <w:textAlignment w:val="auto"/>
      </w:pPr>
      <w:r>
        <w:rPr>
          <w:rFonts w:hint="default" w:ascii="宋体" w:hAnsi="Times New Roman" w:eastAsia="宋体" w:cs="Times New Roman"/>
          <w:snapToGrid/>
          <w:color w:val="000000"/>
          <w:spacing w:val="0"/>
          <w:kern w:val="0"/>
          <w:sz w:val="21"/>
          <w:szCs w:val="20"/>
          <w:lang w:eastAsia="en-US"/>
        </w:rPr>
        <w:t>排污单位应如实记录手工监测期间的工况（包括生产负荷、污染治理设施运行情况等），确保监测数据具有代表性。自动监测期间的工况标记，按照国家标准规范和相关行业工况标记规则执行。</w:t>
      </w:r>
    </w:p>
    <w:p w14:paraId="30ED7C50">
      <w:pPr>
        <w:pStyle w:val="13"/>
        <w:keepNext w:val="0"/>
        <w:keepLines w:val="0"/>
        <w:pageBreakBefore w:val="0"/>
        <w:widowControl w:val="0"/>
        <w:kinsoku/>
        <w:wordWrap/>
        <w:overflowPunct/>
        <w:topLinePunct w:val="0"/>
        <w:autoSpaceDE/>
        <w:autoSpaceDN/>
        <w:bidi w:val="0"/>
        <w:adjustRightInd/>
        <w:snapToGrid/>
        <w:spacing w:line="423" w:lineRule="auto"/>
        <w:ind w:firstLineChars="200"/>
        <w:textAlignment w:val="auto"/>
        <w:rPr>
          <w:rFonts w:hint="default" w:eastAsia="宋体"/>
          <w:lang w:val="en-US" w:eastAsia="zh-CN"/>
        </w:rPr>
      </w:pPr>
      <w:r>
        <w:rPr>
          <w:rFonts w:hint="eastAsia"/>
          <w:lang w:val="en-US" w:eastAsia="zh-CN"/>
        </w:rPr>
        <w:t>本标准未规定的内容，按照HJ 819执行。</w:t>
      </w:r>
    </w:p>
    <w:sectPr>
      <w:footerReference r:id="rId7" w:type="default"/>
      <w:footerReference r:id="rId8" w:type="even"/>
      <w:type w:val="continuous"/>
      <w:pgSz w:w="11906" w:h="16838"/>
      <w:pgMar w:top="1417" w:right="1417" w:bottom="1134" w:left="1417" w:header="1417" w:footer="1134" w:gutter="0"/>
      <w:pgBorders>
        <w:top w:val="none" w:sz="0" w:space="0"/>
        <w:left w:val="none" w:sz="0" w:space="0"/>
        <w:bottom w:val="none" w:sz="0" w:space="0"/>
        <w:right w:val="none" w:sz="0" w:space="0"/>
      </w:pgBorders>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OLUURW+TimesNewRomanPS-BoldMT">
    <w:altName w:val="Times New Roman"/>
    <w:panose1 w:val="02000500000000000000"/>
    <w:charset w:val="01"/>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15BB8">
    <w:pPr>
      <w:pStyle w:val="16"/>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C77F30">
                          <w:pPr>
                            <w:pStyle w:val="16"/>
                            <w:jc w:val="center"/>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9C77F30">
                    <w:pPr>
                      <w:pStyle w:val="16"/>
                      <w:jc w:val="center"/>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0996AC">
    <w:pPr>
      <w:pStyle w:val="5"/>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A92506">
                          <w:pPr>
                            <w:pStyle w:val="5"/>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65A92506">
                    <w:pPr>
                      <w:pStyle w:val="5"/>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4D79A">
    <w:pPr>
      <w:pStyle w:val="16"/>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C99B73">
                          <w:pPr>
                            <w:pStyle w:val="16"/>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3C99B73">
                    <w:pPr>
                      <w:pStyle w:val="16"/>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6998DB">
    <w:pPr>
      <w:pStyle w:val="5"/>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69139D">
                          <w:pPr>
                            <w:pStyle w:val="5"/>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6369139D">
                    <w:pPr>
                      <w:pStyle w:val="5"/>
                    </w:pPr>
                    <w:r>
                      <w:fldChar w:fldCharType="begin"/>
                    </w:r>
                    <w:r>
                      <w:instrText xml:space="preserve"> PAGE  \* MERGEFORMAT </w:instrText>
                    </w:r>
                    <w:r>
                      <w:fldChar w:fldCharType="separate"/>
                    </w:r>
                    <w:r>
                      <w:t>II</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8B9902">
    <w:pPr>
      <w:pStyle w:val="6"/>
      <w:rPr>
        <w:rFonts w:hint="eastAsia" w:ascii="黑体" w:hAnsi="黑体" w:eastAsia="黑体" w:cs="黑体"/>
        <w:color w:val="auto"/>
      </w:rPr>
    </w:pPr>
    <w:r>
      <w:rPr>
        <w:rFonts w:hint="eastAsia" w:ascii="黑体" w:hAnsi="黑体" w:eastAsia="黑体" w:cs="黑体"/>
        <w:b/>
        <w:bCs/>
        <w:color w:val="auto"/>
      </w:rPr>
      <w:t>DB</w:t>
    </w:r>
    <w:r>
      <w:rPr>
        <w:rFonts w:hint="eastAsia" w:ascii="黑体" w:hAnsi="黑体" w:eastAsia="黑体" w:cs="黑体"/>
        <w:color w:val="auto"/>
      </w:rPr>
      <w:t>61/ 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25653">
    <w:pPr>
      <w:pStyle w:val="6"/>
      <w:tabs>
        <w:tab w:val="left" w:pos="7601"/>
        <w:tab w:val="right" w:pos="9474"/>
      </w:tabs>
      <w:jc w:val="left"/>
    </w:pPr>
    <w:r>
      <w:rPr>
        <w:rFonts w:hint="eastAsia"/>
        <w:lang w:eastAsia="zh-CN"/>
      </w:rPr>
      <w:tab/>
    </w:r>
    <w:r>
      <w:rPr>
        <w:rFonts w:hint="eastAsia"/>
        <w:lang w:val="en-US" w:eastAsia="zh-CN"/>
      </w:rPr>
      <w:t xml:space="preserve">                                                                                    </w:t>
    </w:r>
    <w:r>
      <w:rPr>
        <w:rFonts w:hint="eastAsia" w:ascii="黑体" w:hAnsi="黑体" w:eastAsia="黑体" w:cs="黑体"/>
        <w:b/>
        <w:bCs/>
        <w:color w:val="auto"/>
      </w:rPr>
      <w:t>DB</w:t>
    </w:r>
    <w:r>
      <w:rPr>
        <w:rFonts w:hint="eastAsia" w:ascii="黑体" w:hAnsi="黑体" w:eastAsia="黑体" w:cs="黑体"/>
        <w:color w:val="auto"/>
      </w:rPr>
      <w:t>61/ XXXXX—XXXX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22"/>
      <w:suff w:val="nothing"/>
      <w:lvlText w:val="%1　"/>
      <w:lvlJc w:val="left"/>
      <w:pPr>
        <w:ind w:left="0" w:firstLine="0"/>
      </w:pPr>
      <w:rPr>
        <w:rFonts w:hint="eastAsia" w:ascii="黑体" w:hAnsi="Times New Roman" w:eastAsia="黑体"/>
        <w:b w:val="0"/>
        <w:i w:val="0"/>
        <w:color w:val="auto"/>
        <w:sz w:val="21"/>
        <w:szCs w:val="21"/>
      </w:rPr>
    </w:lvl>
    <w:lvl w:ilvl="1" w:tentative="0">
      <w:start w:val="1"/>
      <w:numFmt w:val="decimal"/>
      <w:pStyle w:val="21"/>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color w:val="auto"/>
        <w:spacing w:val="0"/>
        <w:kern w:val="0"/>
        <w:position w:val="0"/>
        <w:sz w:val="21"/>
        <w:szCs w:val="21"/>
        <w:u w:val="none"/>
        <w:vertAlign w:val="baseline"/>
      </w:rPr>
    </w:lvl>
    <w:lvl w:ilvl="2" w:tentative="0">
      <w:start w:val="1"/>
      <w:numFmt w:val="decimal"/>
      <w:pStyle w:val="23"/>
      <w:suff w:val="nothing"/>
      <w:lvlText w:val="%1.%2.%3　"/>
      <w:lvlJc w:val="left"/>
      <w:pPr>
        <w:ind w:left="0" w:firstLine="0"/>
      </w:pPr>
      <w:rPr>
        <w:rFonts w:hint="default" w:ascii="黑体" w:hAnsi="Times New Roman" w:eastAsia="黑体"/>
        <w:b w:val="0"/>
        <w:i w:val="0"/>
        <w:color w:val="000000" w:themeColor="text1"/>
        <w:sz w:val="21"/>
        <w14:textFill>
          <w14:solidFill>
            <w14:schemeClr w14:val="tx1"/>
          </w14:solidFill>
        </w14:textFill>
      </w:rPr>
    </w:lvl>
    <w:lvl w:ilvl="3" w:tentative="0">
      <w:start w:val="1"/>
      <w:numFmt w:val="decimal"/>
      <w:suff w:val="nothing"/>
      <w:lvlText w:val="%1.%2.%3.%4　"/>
      <w:lvlJc w:val="left"/>
      <w:pPr>
        <w:ind w:left="0" w:firstLine="0"/>
      </w:pPr>
      <w:rPr>
        <w:rFonts w:hint="default" w:ascii="黑体" w:hAnsi="Times New Roman" w:eastAsia="黑体"/>
        <w:b w:val="0"/>
        <w:i w:val="0"/>
        <w:color w:val="000000" w:themeColor="text1"/>
        <w:sz w:val="21"/>
        <w14:textFill>
          <w14:solidFill>
            <w14:schemeClr w14:val="tx1"/>
          </w14:solidFill>
        </w14:textFill>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44C50F90"/>
    <w:multiLevelType w:val="multilevel"/>
    <w:tmpl w:val="44C50F90"/>
    <w:lvl w:ilvl="0" w:tentative="0">
      <w:start w:val="1"/>
      <w:numFmt w:val="lowerLetter"/>
      <w:pStyle w:val="25"/>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
    <w:nsid w:val="646260FA"/>
    <w:multiLevelType w:val="multilevel"/>
    <w:tmpl w:val="646260FA"/>
    <w:lvl w:ilvl="0" w:tentative="0">
      <w:start w:val="1"/>
      <w:numFmt w:val="decimal"/>
      <w:pStyle w:val="20"/>
      <w:suff w:val="nothing"/>
      <w:lvlText w:val="表%1　"/>
      <w:lvlJc w:val="left"/>
      <w:pPr>
        <w:ind w:left="6096" w:firstLine="0"/>
      </w:pPr>
      <w:rPr>
        <w:rFonts w:hint="eastAsia" w:ascii="黑体" w:hAnsi="Times New Roman" w:eastAsia="黑体"/>
        <w:b w:val="0"/>
        <w:i w:val="0"/>
        <w:sz w:val="21"/>
        <w:lang w:val="en-US"/>
      </w:rPr>
    </w:lvl>
    <w:lvl w:ilvl="1" w:tentative="0">
      <w:start w:val="1"/>
      <w:numFmt w:val="decimal"/>
      <w:lvlText w:val="%1.%2"/>
      <w:lvlJc w:val="left"/>
      <w:pPr>
        <w:tabs>
          <w:tab w:val="left" w:pos="-993"/>
        </w:tabs>
        <w:ind w:left="-993" w:hanging="567"/>
      </w:pPr>
      <w:rPr>
        <w:rFonts w:hint="eastAsia"/>
      </w:rPr>
    </w:lvl>
    <w:lvl w:ilvl="2" w:tentative="0">
      <w:start w:val="1"/>
      <w:numFmt w:val="decimal"/>
      <w:lvlText w:val="%1.%2.%3"/>
      <w:lvlJc w:val="left"/>
      <w:pPr>
        <w:tabs>
          <w:tab w:val="left" w:pos="-567"/>
        </w:tabs>
        <w:ind w:left="-567" w:hanging="567"/>
      </w:pPr>
      <w:rPr>
        <w:rFonts w:hint="eastAsia"/>
      </w:rPr>
    </w:lvl>
    <w:lvl w:ilvl="3" w:tentative="0">
      <w:start w:val="1"/>
      <w:numFmt w:val="decimal"/>
      <w:lvlText w:val="%1.%2.%3.%4"/>
      <w:lvlJc w:val="left"/>
      <w:pPr>
        <w:tabs>
          <w:tab w:val="left" w:pos="-1"/>
        </w:tabs>
        <w:ind w:left="-1" w:hanging="708"/>
      </w:pPr>
      <w:rPr>
        <w:rFonts w:hint="eastAsia"/>
      </w:rPr>
    </w:lvl>
    <w:lvl w:ilvl="4" w:tentative="0">
      <w:start w:val="1"/>
      <w:numFmt w:val="decimal"/>
      <w:lvlText w:val="%1.%2.%3.%4.%5"/>
      <w:lvlJc w:val="left"/>
      <w:pPr>
        <w:tabs>
          <w:tab w:val="left" w:pos="566"/>
        </w:tabs>
        <w:ind w:left="566" w:hanging="850"/>
      </w:pPr>
      <w:rPr>
        <w:rFonts w:hint="eastAsia"/>
      </w:rPr>
    </w:lvl>
    <w:lvl w:ilvl="5" w:tentative="0">
      <w:start w:val="1"/>
      <w:numFmt w:val="decimal"/>
      <w:lvlText w:val="%1.%2.%3.%4.%5.%6"/>
      <w:lvlJc w:val="left"/>
      <w:pPr>
        <w:tabs>
          <w:tab w:val="left" w:pos="1275"/>
        </w:tabs>
        <w:ind w:left="1275" w:hanging="1134"/>
      </w:pPr>
      <w:rPr>
        <w:rFonts w:hint="eastAsia"/>
      </w:rPr>
    </w:lvl>
    <w:lvl w:ilvl="6" w:tentative="0">
      <w:start w:val="1"/>
      <w:numFmt w:val="decimal"/>
      <w:lvlText w:val="%1.%2.%3.%4.%5.%6.%7"/>
      <w:lvlJc w:val="left"/>
      <w:pPr>
        <w:tabs>
          <w:tab w:val="left" w:pos="1842"/>
        </w:tabs>
        <w:ind w:left="1842" w:hanging="1276"/>
      </w:pPr>
      <w:rPr>
        <w:rFonts w:hint="eastAsia"/>
      </w:rPr>
    </w:lvl>
    <w:lvl w:ilvl="7" w:tentative="0">
      <w:start w:val="1"/>
      <w:numFmt w:val="decimal"/>
      <w:lvlText w:val="%1.%2.%3.%4.%5.%6.%7.%8"/>
      <w:lvlJc w:val="left"/>
      <w:pPr>
        <w:tabs>
          <w:tab w:val="left" w:pos="2409"/>
        </w:tabs>
        <w:ind w:left="2409" w:hanging="1418"/>
      </w:pPr>
      <w:rPr>
        <w:rFonts w:hint="eastAsia"/>
      </w:rPr>
    </w:lvl>
    <w:lvl w:ilvl="8" w:tentative="0">
      <w:start w:val="1"/>
      <w:numFmt w:val="decimal"/>
      <w:lvlText w:val="%1.%2.%3.%4.%5.%6.%7.%8.%9"/>
      <w:lvlJc w:val="left"/>
      <w:pPr>
        <w:tabs>
          <w:tab w:val="left" w:pos="3117"/>
        </w:tabs>
        <w:ind w:left="3117" w:hanging="1700"/>
      </w:pPr>
      <w:rPr>
        <w:rFonts w:hint="eastAsia"/>
      </w:rPr>
    </w:lvl>
  </w:abstractNum>
  <w:num w:numId="1">
    <w:abstractNumId w:val="2"/>
  </w:num>
  <w:num w:numId="2">
    <w:abstractNumId w:val="0"/>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evenAndOddHeaders w:val="1"/>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3B4DC5"/>
    <w:rsid w:val="00443541"/>
    <w:rsid w:val="008953F8"/>
    <w:rsid w:val="036208AE"/>
    <w:rsid w:val="03987D06"/>
    <w:rsid w:val="04275653"/>
    <w:rsid w:val="058F34B0"/>
    <w:rsid w:val="092B1742"/>
    <w:rsid w:val="09CF6ADF"/>
    <w:rsid w:val="0A117693"/>
    <w:rsid w:val="0BB7550F"/>
    <w:rsid w:val="0DAC50E6"/>
    <w:rsid w:val="0DF45274"/>
    <w:rsid w:val="0FAC0AC3"/>
    <w:rsid w:val="10757746"/>
    <w:rsid w:val="10F60887"/>
    <w:rsid w:val="121D1954"/>
    <w:rsid w:val="12C765B7"/>
    <w:rsid w:val="13855EF2"/>
    <w:rsid w:val="14EE4D92"/>
    <w:rsid w:val="14F90946"/>
    <w:rsid w:val="157F5F94"/>
    <w:rsid w:val="157F6158"/>
    <w:rsid w:val="16847D7E"/>
    <w:rsid w:val="16E573D4"/>
    <w:rsid w:val="180E4708"/>
    <w:rsid w:val="18510F26"/>
    <w:rsid w:val="199C261F"/>
    <w:rsid w:val="1B112363"/>
    <w:rsid w:val="1B180934"/>
    <w:rsid w:val="1B4A1EFB"/>
    <w:rsid w:val="1B4F0826"/>
    <w:rsid w:val="1C861C9D"/>
    <w:rsid w:val="1CFA34AD"/>
    <w:rsid w:val="1D353C90"/>
    <w:rsid w:val="1D9C6312"/>
    <w:rsid w:val="1DFFA7BF"/>
    <w:rsid w:val="1F3A4035"/>
    <w:rsid w:val="24D75C6F"/>
    <w:rsid w:val="25BB0476"/>
    <w:rsid w:val="25E46AA9"/>
    <w:rsid w:val="2604714B"/>
    <w:rsid w:val="271B299E"/>
    <w:rsid w:val="28EF5E90"/>
    <w:rsid w:val="2997640A"/>
    <w:rsid w:val="2A331DAD"/>
    <w:rsid w:val="2A3967D5"/>
    <w:rsid w:val="2ACE9F8F"/>
    <w:rsid w:val="2D7B4196"/>
    <w:rsid w:val="30202153"/>
    <w:rsid w:val="30FA64FC"/>
    <w:rsid w:val="33F67668"/>
    <w:rsid w:val="340D0D1E"/>
    <w:rsid w:val="34DE23A6"/>
    <w:rsid w:val="358D2CB9"/>
    <w:rsid w:val="37DD2351"/>
    <w:rsid w:val="37FA215C"/>
    <w:rsid w:val="38156F95"/>
    <w:rsid w:val="38EA21D0"/>
    <w:rsid w:val="39227BBC"/>
    <w:rsid w:val="397B6A20"/>
    <w:rsid w:val="3B0046FA"/>
    <w:rsid w:val="3B3D833C"/>
    <w:rsid w:val="3D342A26"/>
    <w:rsid w:val="3DB42DAD"/>
    <w:rsid w:val="3DF78843"/>
    <w:rsid w:val="3E0C34A7"/>
    <w:rsid w:val="3E3172EB"/>
    <w:rsid w:val="40526FD9"/>
    <w:rsid w:val="4117046E"/>
    <w:rsid w:val="422E75D1"/>
    <w:rsid w:val="434B5F61"/>
    <w:rsid w:val="43F455D7"/>
    <w:rsid w:val="44093A29"/>
    <w:rsid w:val="453D1324"/>
    <w:rsid w:val="46D11FBC"/>
    <w:rsid w:val="47147C8B"/>
    <w:rsid w:val="4A4A769D"/>
    <w:rsid w:val="4AB50890"/>
    <w:rsid w:val="4BEE392E"/>
    <w:rsid w:val="4C143394"/>
    <w:rsid w:val="4C442814"/>
    <w:rsid w:val="4D2E66D8"/>
    <w:rsid w:val="4DB03590"/>
    <w:rsid w:val="4DEE01EB"/>
    <w:rsid w:val="4EC97B6F"/>
    <w:rsid w:val="4F03120B"/>
    <w:rsid w:val="4F670330"/>
    <w:rsid w:val="4FF63C8D"/>
    <w:rsid w:val="50060E65"/>
    <w:rsid w:val="50C7438A"/>
    <w:rsid w:val="51220301"/>
    <w:rsid w:val="515661FD"/>
    <w:rsid w:val="545D0A6C"/>
    <w:rsid w:val="5472334E"/>
    <w:rsid w:val="56424FA2"/>
    <w:rsid w:val="56B74F24"/>
    <w:rsid w:val="5875165E"/>
    <w:rsid w:val="58B4266A"/>
    <w:rsid w:val="59A92693"/>
    <w:rsid w:val="5ACD5782"/>
    <w:rsid w:val="5BC67BCA"/>
    <w:rsid w:val="5C8C1EC4"/>
    <w:rsid w:val="5D3F66DF"/>
    <w:rsid w:val="5E005E6E"/>
    <w:rsid w:val="5E6C52B2"/>
    <w:rsid w:val="5F013C4C"/>
    <w:rsid w:val="5F571ABE"/>
    <w:rsid w:val="5FF7B591"/>
    <w:rsid w:val="5FFBD514"/>
    <w:rsid w:val="6098413C"/>
    <w:rsid w:val="61691F7C"/>
    <w:rsid w:val="61A3723C"/>
    <w:rsid w:val="61BD07B4"/>
    <w:rsid w:val="62503F48"/>
    <w:rsid w:val="62EE5B3C"/>
    <w:rsid w:val="652561BA"/>
    <w:rsid w:val="6623094C"/>
    <w:rsid w:val="66855163"/>
    <w:rsid w:val="678B4CF6"/>
    <w:rsid w:val="67CB3049"/>
    <w:rsid w:val="67D84095"/>
    <w:rsid w:val="69FD6414"/>
    <w:rsid w:val="6A127B44"/>
    <w:rsid w:val="6BF84629"/>
    <w:rsid w:val="6C8477D1"/>
    <w:rsid w:val="6D17288C"/>
    <w:rsid w:val="6D2B38B1"/>
    <w:rsid w:val="6DE9247B"/>
    <w:rsid w:val="6E440737"/>
    <w:rsid w:val="6E4E6782"/>
    <w:rsid w:val="6E9F307A"/>
    <w:rsid w:val="6FB411A5"/>
    <w:rsid w:val="6FC860C0"/>
    <w:rsid w:val="704B11CB"/>
    <w:rsid w:val="70897D30"/>
    <w:rsid w:val="71865F92"/>
    <w:rsid w:val="71DA0174"/>
    <w:rsid w:val="731C7EC5"/>
    <w:rsid w:val="733B4DC5"/>
    <w:rsid w:val="736A3C93"/>
    <w:rsid w:val="73764B58"/>
    <w:rsid w:val="743D0BDB"/>
    <w:rsid w:val="753C5586"/>
    <w:rsid w:val="75CF01A8"/>
    <w:rsid w:val="77222583"/>
    <w:rsid w:val="77B51620"/>
    <w:rsid w:val="78E751EF"/>
    <w:rsid w:val="78F42C4C"/>
    <w:rsid w:val="7A2111EE"/>
    <w:rsid w:val="7BFC9468"/>
    <w:rsid w:val="7F383422"/>
    <w:rsid w:val="7FFF1582"/>
    <w:rsid w:val="BBFF389D"/>
    <w:rsid w:val="BF36349C"/>
    <w:rsid w:val="BF7B141F"/>
    <w:rsid w:val="D6E37B9E"/>
    <w:rsid w:val="DDDF5BA5"/>
    <w:rsid w:val="F31FF0C6"/>
    <w:rsid w:val="F79EB2CC"/>
    <w:rsid w:val="F7BF0EF4"/>
    <w:rsid w:val="FD9F0281"/>
    <w:rsid w:val="FE6DAF98"/>
    <w:rsid w:val="FEEF9757"/>
    <w:rsid w:val="FFFF816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semiHidden/>
    <w:qFormat/>
    <w:uiPriority w:val="0"/>
    <w:rPr>
      <w:rFonts w:ascii="黑体" w:hAnsi="黑体" w:eastAsia="黑体" w:cs="黑体"/>
      <w:sz w:val="28"/>
      <w:szCs w:val="28"/>
      <w:lang w:val="en-US" w:eastAsia="en-US" w:bidi="ar-SA"/>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rPr>
  </w:style>
  <w:style w:type="character" w:styleId="12">
    <w:name w:val="Hyperlink"/>
    <w:qFormat/>
    <w:uiPriority w:val="99"/>
    <w:rPr>
      <w:color w:val="0000FF"/>
      <w:spacing w:val="0"/>
      <w:w w:val="100"/>
      <w:szCs w:val="21"/>
      <w:u w:val="single"/>
    </w:rPr>
  </w:style>
  <w:style w:type="paragraph" w:customStyle="1" w:styleId="13">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4">
    <w:name w:val="前言、引言标题"/>
    <w:next w:val="13"/>
    <w:qFormat/>
    <w:uiPriority w:val="99"/>
    <w:pPr>
      <w:keepNext/>
      <w:pageBreakBefore/>
      <w:shd w:val="clear" w:color="FFFFFF" w:fill="FFFFFF"/>
      <w:spacing w:before="850" w:after="680"/>
      <w:jc w:val="center"/>
      <w:outlineLvl w:val="0"/>
    </w:pPr>
    <w:rPr>
      <w:rFonts w:ascii="黑体" w:hAnsi="黑体" w:eastAsia="黑体" w:cs="Times New Roman"/>
      <w:sz w:val="32"/>
      <w:lang w:val="en-US" w:eastAsia="zh-CN" w:bidi="ar-SA"/>
    </w:rPr>
  </w:style>
  <w:style w:type="paragraph" w:customStyle="1" w:styleId="15">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6">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17">
    <w:name w:val="WPSOffice手动目录 1"/>
    <w:qFormat/>
    <w:uiPriority w:val="0"/>
    <w:pPr>
      <w:ind w:leftChars="0"/>
    </w:pPr>
    <w:rPr>
      <w:rFonts w:asciiTheme="minorHAnsi" w:hAnsiTheme="minorHAnsi" w:eastAsiaTheme="minorEastAsia" w:cstheme="minorBidi"/>
      <w:sz w:val="20"/>
      <w:szCs w:val="20"/>
    </w:rPr>
  </w:style>
  <w:style w:type="table" w:customStyle="1" w:styleId="18">
    <w:name w:val="Table Normal"/>
    <w:semiHidden/>
    <w:unhideWhenUsed/>
    <w:qFormat/>
    <w:uiPriority w:val="0"/>
    <w:tblPr>
      <w:tblCellMar>
        <w:top w:w="0" w:type="dxa"/>
        <w:left w:w="0" w:type="dxa"/>
        <w:bottom w:w="0" w:type="dxa"/>
        <w:right w:w="0" w:type="dxa"/>
      </w:tblCellMar>
    </w:tblPr>
  </w:style>
  <w:style w:type="paragraph" w:customStyle="1" w:styleId="19">
    <w:name w:val="Table Text"/>
    <w:basedOn w:val="1"/>
    <w:semiHidden/>
    <w:qFormat/>
    <w:uiPriority w:val="0"/>
    <w:rPr>
      <w:rFonts w:ascii="Times New Roman" w:hAnsi="Times New Roman" w:eastAsia="Times New Roman" w:cs="Times New Roman"/>
      <w:sz w:val="21"/>
      <w:szCs w:val="21"/>
      <w:lang w:val="en-US" w:eastAsia="en-US" w:bidi="ar-SA"/>
    </w:rPr>
  </w:style>
  <w:style w:type="paragraph" w:customStyle="1" w:styleId="20">
    <w:name w:val="正文表标题"/>
    <w:next w:val="13"/>
    <w:qFormat/>
    <w:uiPriority w:val="0"/>
    <w:pPr>
      <w:numPr>
        <w:ilvl w:val="0"/>
        <w:numId w:val="1"/>
      </w:numPr>
      <w:spacing w:before="156" w:beforeLines="50" w:after="156" w:afterLines="50"/>
      <w:jc w:val="center"/>
    </w:pPr>
    <w:rPr>
      <w:rFonts w:ascii="黑体" w:hAnsi="Times New Roman" w:eastAsia="黑体" w:cs="Times New Roman"/>
      <w:sz w:val="21"/>
      <w:lang w:val="en-US" w:eastAsia="zh-CN" w:bidi="ar-SA"/>
    </w:rPr>
  </w:style>
  <w:style w:type="paragraph" w:customStyle="1" w:styleId="21">
    <w:name w:val="一级条标题"/>
    <w:next w:val="13"/>
    <w:qFormat/>
    <w:uiPriority w:val="0"/>
    <w:pPr>
      <w:numPr>
        <w:ilvl w:val="1"/>
        <w:numId w:val="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2">
    <w:name w:val="章标题"/>
    <w:next w:val="13"/>
    <w:qFormat/>
    <w:uiPriority w:val="0"/>
    <w:pPr>
      <w:numPr>
        <w:ilvl w:val="0"/>
        <w:numId w:val="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3">
    <w:name w:val="二级条标题"/>
    <w:basedOn w:val="21"/>
    <w:next w:val="13"/>
    <w:qFormat/>
    <w:uiPriority w:val="0"/>
    <w:pPr>
      <w:numPr>
        <w:ilvl w:val="2"/>
        <w:numId w:val="2"/>
      </w:numPr>
      <w:spacing w:before="50" w:after="50"/>
      <w:outlineLvl w:val="3"/>
    </w:pPr>
  </w:style>
  <w:style w:type="paragraph" w:customStyle="1" w:styleId="24">
    <w:name w:val="二级无"/>
    <w:basedOn w:val="23"/>
    <w:qFormat/>
    <w:uiPriority w:val="0"/>
    <w:pPr>
      <w:spacing w:before="0" w:beforeLines="0" w:after="0" w:afterLines="0"/>
    </w:pPr>
    <w:rPr>
      <w:rFonts w:ascii="宋体" w:eastAsia="宋体"/>
    </w:rPr>
  </w:style>
  <w:style w:type="paragraph" w:customStyle="1" w:styleId="25">
    <w:name w:val="字母编号列项（一级）"/>
    <w:qFormat/>
    <w:uiPriority w:val="0"/>
    <w:pPr>
      <w:numPr>
        <w:ilvl w:val="0"/>
        <w:numId w:val="3"/>
      </w:numPr>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5.jpeg"/><Relationship Id="rId13" Type="http://schemas.openxmlformats.org/officeDocument/2006/relationships/image" Target="media/image4.jpeg"/><Relationship Id="rId12" Type="http://schemas.openxmlformats.org/officeDocument/2006/relationships/image" Target="media/image3.jpeg"/><Relationship Id="rId11" Type="http://schemas.openxmlformats.org/officeDocument/2006/relationships/image" Target="media/image2.jpeg"/><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Pages>
  <Words>3427</Words>
  <Characters>3803</Characters>
  <Lines>0</Lines>
  <Paragraphs>0</Paragraphs>
  <TotalTime>3</TotalTime>
  <ScaleCrop>false</ScaleCrop>
  <LinksUpToDate>false</LinksUpToDate>
  <CharactersWithSpaces>3946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2024-11-26T02:47:00Z</dcterms:created>
  <dc:creator>小东</dc:creator>
  <cp:lastModifiedBy>张淳</cp:lastModifiedBy>
  <dcterms:modified xsi:type="dcterms:W3CDTF">2025-03-21T05:50:18Z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5C1D789E59C84BA68C6D1315094F088F_13</vt:lpwstr>
  </property>
  <property fmtid="{D5CDD505-2E9C-101B-9397-08002B2CF9AE}" pid="4" name="KSOTemplateDocerSaveRecord">
    <vt:lpwstr>eyJoZGlkIjoiMTYyNjMxYjZiN2IyZjIyYWQ5YjE3OGQ4YTEyYjc2N2UiLCJ1c2VySWQiOiIyMjUzNzA4MjUifQ==</vt:lpwstr>
  </property>
</Properties>
</file>